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37" w:type="dxa"/>
        <w:tblInd w:w="4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7"/>
      </w:tblGrid>
      <w:tr>
        <w:tblPrEx/>
        <w:trPr>
          <w:trHeight w:val="2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center"/>
            <w:textDirection w:val="lrTb"/>
            <w:noWrap w:val="false"/>
          </w:tcPr>
          <w:p>
            <w:pPr>
              <w:pStyle w:val="830"/>
              <w:contextualSpacing/>
              <w:jc w:val="center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УТВЕРЖДЕНО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30"/>
              <w:contextualSpacing/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риказом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врио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уководителя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0"/>
              <w:contextualSpacing/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Территориального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30"/>
              <w:contextualSpacing/>
              <w:jc w:val="center"/>
              <w:spacing w:after="0" w:afterAutospacing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Ростовской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5 февраля 2026 года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№61-20-к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37" w:type="dxa"/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30"/>
        <w:contextualSpacing/>
        <w:ind w:right="499"/>
        <w:jc w:val="left"/>
        <w:spacing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r>
    </w:p>
    <w:p>
      <w:pPr>
        <w:pStyle w:val="830"/>
        <w:contextualSpacing/>
        <w:ind w:right="499"/>
        <w:jc w:val="left"/>
        <w:spacing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</w:r>
    </w:p>
    <w:p>
      <w:pPr>
        <w:pStyle w:val="830"/>
        <w:contextualSpacing/>
        <w:ind w:right="499"/>
        <w:jc w:val="center"/>
        <w:spacing w:line="276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</w:p>
    <w:p>
      <w:pPr>
        <w:pStyle w:val="830"/>
        <w:contextualSpacing/>
        <w:ind w:right="499"/>
        <w:jc w:val="center"/>
        <w:spacing w:line="276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об отделе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реализации арестованного, конфискованного и иного имущества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Территориального управления Федерального агентства по управлению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государственным имуществом в Ростовской области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yellow"/>
        </w:rPr>
      </w:r>
    </w:p>
    <w:p>
      <w:pPr>
        <w:pStyle w:val="830"/>
        <w:contextualSpacing/>
        <w:ind w:right="499"/>
        <w:jc w:val="center"/>
        <w:spacing w:line="276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</w:p>
    <w:p>
      <w:pPr>
        <w:pStyle w:val="830"/>
        <w:contextualSpacing/>
        <w:ind w:right="-87" w:firstLine="720"/>
        <w:jc w:val="both"/>
        <w:spacing w:line="276" w:lineRule="auto"/>
        <w:shd w:val="clear" w:color="auto" w:fill="ffffff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Настоящее Положение определяет основные 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задачи,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 функции и полномочия отдела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реализации арестованного, конфискованного и иного имущества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Те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рриториального управления Федерального агентства по управлению государственным имуществом в Ростовской области (далее - Территориальное управление, ТУ Росимущества в Ростовской области).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r>
    </w:p>
    <w:p>
      <w:pPr>
        <w:pStyle w:val="830"/>
        <w:contextualSpacing/>
        <w:ind w:right="499" w:firstLine="720"/>
        <w:jc w:val="both"/>
        <w:spacing w:line="276" w:lineRule="auto"/>
        <w:shd w:val="clear" w:color="auto" w:fill="ffffff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r>
    </w:p>
    <w:p>
      <w:pPr>
        <w:pStyle w:val="830"/>
        <w:contextualSpacing/>
        <w:ind w:right="499"/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none"/>
        </w:rPr>
      </w:r>
    </w:p>
    <w:p>
      <w:pPr>
        <w:contextualSpacing/>
        <w:ind w:right="499"/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highlight w:val="none"/>
        </w:rPr>
      </w:r>
    </w:p>
    <w:p>
      <w:pPr>
        <w:pStyle w:val="830"/>
        <w:contextualSpacing/>
        <w:ind w:firstLine="709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</w:t>
        <w:tab/>
        <w:t xml:space="preserve">Отдел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реализации арестованного, конфискованного и иного имущества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Отдел) является структурным подразделением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 Росимущества в Ростовской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</w:t>
        <w:tab/>
        <w:t xml:space="preserve">В своей деятельности Отдел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нормативными правовыми актами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 финансов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приказами, распоряжениями  и  поручениями Федерального агентства  по  управлению федеральным имуществом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Росимущество)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иными нормативно-правовыми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актами, Положением о Территориальном управлении, приказами, распоряжениями, решениями,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поручениями руководителя 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 осуществляет возложенные на него функции во взаимодействии с другими отделами Территориального управления, с заинтересованными подразделениями федеральных органов исполнительной власти, иными организациями.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right="62"/>
        <w:jc w:val="center"/>
        <w:spacing w:before="538"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ФУНКЦИИ ОТДЕЛА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Конституцией Российской Федерации, федеральными конституционными законами, федеральными законами,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финансов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приказами, распоряжениями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поручениями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Росимущества, Положением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Территориальном управлении, приказами, распоряжениями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поручениями 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Территориального управления,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Положением об Отделе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Отдел осуществляет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следующие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функции: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2.1. В целях реализации Постановления Правительства Российской Федерации от 23.09.2019 г. № 1238 «О распоряжении имуществом, обращенным в собственность государства», утверждающего Положение «О распоряжении имуществом, обращенным в собственность государств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(далее – Положение) в отношении конфискованного, движимого бесхозяйного, изъятого имущества, товарами, в отношении которых при перемещении через таможенную границу Евразийского экономического союза была заявлена процедура отказа в пользу государства, и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адами (далее имущество, обращенное в собственность государства), за исключением п. 3. Положения, Отдел осуществляет учет, организует прием, проводит оценку, экспертизу имущества, транспортировку (перевозку), хранение и последующее распоряжение способами,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редусмотренными п. 11 настоящего Положения.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ля оказания услуг по экспертизе, оценке, транспортировке (перевозке), хранению, а также услуг по распоряжению способами, предусмотренными пунктом 11 настоящего Положения, Территориальное управление вправе привлекать юридических и физических лиц (далее - ис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олнитель)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Отдел принимает участие в мероприятиях по размещению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ых заказов на оказание услуг и выполнению работ для нужд Территориального управления для осуществления качественного выполнения функций Отдела. Имущество, обращенное в собственность государства, подлежит распоряжению следующими способами: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а) переработка (утилизация);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б) уничтожение;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в) реализация;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г) безвозмездная передача конфискованных товаров легкой промышленности, явившихся орудиями или предметами административного правонарушения, в случаях и порядке, которые установлены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</w:t>
        <w:tab/>
        <w:t xml:space="preserve">Обеспечивает взаимодействие с уполномоченными органами и поверенными организациями по приему: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   задержанных таможенными органами товаров;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конфискованного или изъятого автомобильного транспорта, указанного в </w:t>
      </w:r>
      <w:hyperlink r:id="rId8" w:tooltip="consultantplus://offline/ref=973B76FBA2167B499FC80F84AAA5AECF3A34D2EA7E4C7F7C4598AE8B104FF44B6237E41D849628C24D59924197E2629E4874674C655DP5ID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подпункте 6 пункта 1 статьи 25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движимого имущества (за исключением акций (долей) в уставных (складочных) капиталах хозяйственных обществ и товариществ), обращенного в собственность Российской Федерации, в том числе: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конфискованного, бесхозяйного и изъятого имущества;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товаров, помещенных под таможенную процедуру отказа в пользу государства при перемещении через таможенную границу Евразийского экономического союза;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переданных в собственность Российской Федерации кладов;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вещественных доказательств, которые переданы на реализацию по основаниям, предусмотренным Уголовно-процессуальным </w:t>
      </w:r>
      <w:hyperlink r:id="rId9" w:tooltip="consultantplus://offline/ref=6A83B22CAEDC48ADD4F7E532089745C6F7ECB9D6D831434704CCF65B7205295C1992623CEE87B5EE3103E9DB870DTD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Российской Федерации, включая древесину и (или) полученную из нее продукцию в виде лесоматериалов, изъятых в ходе досудебного производства по уголовным делам о преступлениях, предусмотренных </w:t>
      </w:r>
      <w:hyperlink r:id="rId10" w:tooltip="consultantplus://offline/ref=6A83B22CAEDC48ADD4F7E532089745C6F7ECB9D1DA30434704CCF65B7205295C0B923A30E885A8E5614CAF8E88DEEAA4CEEFDBDA7AD803T8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статьями 191.1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</w:t>
      </w:r>
      <w:hyperlink r:id="rId11" w:tooltip="consultantplus://offline/ref=6A83B22CAEDC48ADD4F7E532089745C6F7ECB9D1DA30434704CCF65B7205295C0B923A30ED85ACE5614CAF8E88DEEAA4CEEFDBDA7AD803T8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226.1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</w:t>
      </w:r>
      <w:hyperlink r:id="rId12" w:tooltip="consultantplus://offline/ref=6A83B22CAEDC48ADD4F7E532089745C6F7ECB9D1DA30434704CCF65B7205295C0B923A35ED8BFFBF7148E6DB82C0EDBED0E9C5DA07T9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260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Уголовного кодекса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изъятых вещей, явившихся орудиями совершения 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предметами административного правонарушения, подвергающихся быстрой порче, 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древесины и (или) полученной из нее продукции в виде необработанных лесоматериалов, изъятых при производстве по делам об административных правонарушениях, предусмотренных </w:t>
      </w:r>
      <w:hyperlink r:id="rId13" w:tooltip="consultantplus://offline/ref=4D4095EFD707CAA4219803DFDC5C6571C86DB7E473B37D54571EC5E8BEC7AEB724EF93BD4C6B7314416E1494298CB045BAB541B110C0V1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8.28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</w:t>
        <w:tab/>
        <w:t xml:space="preserve">Организует в установленном порядке реа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лизацию на электронны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торгах и комиссионных началах, в том числе выступает продавцом, имущества (в том числе имущественных прав), арестованного во исполнение судебных решений или актов органов, которым предоставлено право принимать решения об обращении взыскания на имущество;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</w:t>
        <w:tab/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рганизует в установленном порядке реализацию имущества, стоимость которого составляет 10 тыс. рублей и менее (за единицу либо партию однородных товаров), 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организует реализацию на торгах следующего имущества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стоимостью более 10 тыс. рублей: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   задержанные таможенными органами товары;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конфискованный или изъятый автомобильный транспорт, указанный в </w:t>
      </w:r>
      <w:hyperlink r:id="rId14" w:tooltip="consultantplus://offline/ref=973B76FBA2167B499FC80F84AAA5AECF3A34D2EA7E4C7F7C4598AE8B104FF44B6237E41D849628C24D59924197E2629E4874674C655DP5ID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подпункте 6 пункта 1 статьи 25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движимое имущество (за исключением акций (долей) в уставных (складочных) капиталах хозяйственных обществ и товариществ), обращенное в собственность Российской Федерации, в том числе: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конфискованное, бесхозяйное и изъятое имущество;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товары, помещенные под таможенную процедуру отказа в пользу государства при перемещении через таможенную границу Евразийского экономического союза;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переданные в собственность Российской Федерации клады;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вещественные доказательства, которые переданы на реализацию по основаниям, предусмотренным Уголовно-процессуальным </w:t>
      </w:r>
      <w:hyperlink r:id="rId15" w:tooltip="consultantplus://offline/ref=6A83B22CAEDC48ADD4F7E532089745C6F7ECB9D6D831434704CCF65B7205295C1992623CEE87B5EE3103E9DB870DTD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включая древесину и (или) полученную из нее продукцию в виде лесоматериалов, изъятых в ходе досудебного производства по уголовным делам о преступлениях, предусмотренных </w:t>
      </w:r>
      <w:hyperlink r:id="rId16" w:tooltip="consultantplus://offline/ref=6A83B22CAEDC48ADD4F7E532089745C6F7ECB9D1DA30434704CCF65B7205295C0B923A30E885A8E5614CAF8E88DEEAA4CEEFDBDA7AD803T8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статьями 191.1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</w:t>
      </w:r>
      <w:hyperlink r:id="rId17" w:tooltip="consultantplus://offline/ref=6A83B22CAEDC48ADD4F7E532089745C6F7ECB9D1DA30434704CCF65B7205295C0B923A30ED85ACE5614CAF8E88DEEAA4CEEFDBDA7AD803T8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226.1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</w:t>
      </w:r>
      <w:hyperlink r:id="rId18" w:tooltip="consultantplus://offline/ref=6A83B22CAEDC48ADD4F7E532089745C6F7ECB9D1DA30434704CCF65B7205295C0B923A35ED8BFFBF7148E6DB82C0EDBED0E9C5DA07T9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260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Уголовного кодекса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изъятые вещи, явившиеся орудиями совершения 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предметами административного правонарушения, подвергающихся быстрой порче, а также древесины и (или) полученной из нее продукции в виде необработанных лесоматериалов, изъятых при производстве по делам об административных правонарушениях, предусмотренных </w:t>
      </w:r>
      <w:hyperlink r:id="rId19" w:tooltip="consultantplus://offline/ref=4D4095EFD707CAA4219803DFDC5C6571C86DB7E473B37D54571EC5E8BEC7AEB724EF93BD4C6B7314416E1494298CB045BAB541B110C0V1J" w:history="1">
        <w:r>
          <w:rPr>
            <w:rStyle w:val="83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статьей 8.28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роводит заседания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комиссии, уполномоченной рассматривать заявки претендентов на участие в торгах, подводит итоги проведения торгов, рассматривает иные вопросы, возникающие при продаже категорий имущества, функции по продаже которых возложены на Отдел настоящим Положением;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.6. Проводит заседания комиссии, уполномоченной рассматривать, подводить итоги поступивших от претендентов заявок на приобретение имущества, указанного в подпун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 "а" пункта 1 Положения «О порядке реализации имущества, обращенного в собственность государства, вещественных доказательств, изъятых вещей, а также задержанных таможенными органами товаров», утвержденного постановлением Правительства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30 сентября 2015 г. № 1041 (за исключением обращенных в собственность Российской Федерации морских судов и судов внутреннего водного плавания), вещественных доказательств, которые переданы на реализацию по основаниям, предусмотренным уголовно-процессуа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льным кодексом Российской Федерации, включая древесину и (или) полученную из нее продукцию в виде лесоматериалов, изъятых в ходе досудебного производства по уголовным делам о преступлениях, предусмотренных статьями 191.1, 226.1 и 260 Уголовного кодекса 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сийской Федерации, изъятых вещей, явившихся орудиями совершения или предметами административного правонарушения, подвергающихся быстрой порче, а также древесины и (или) полученной из нее продукции в виде необработанных лесоматериалов, изъятых при производс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тве по делам об административных правонарушениях, предусмотренных статьей 8.28 Кодекса Российской Федерации об административных правонарушениях.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Организует в установленном порядке переработку, а в случае невозможности в силу утраты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потребительских свойств – уничтожение имущества, указанного в пункте 4.3 настоящего Положения (за исключением этилового спирта, алкогольной и спиртосодержащей продукции, указанных в статье 25 Федерального закона от 22 ноября 1995 г. № 171-ФЗ «О государств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также сырья, полуфабрикатов, производственной, транспортной, потребительской тары (упако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вки), этикеток, средств укупорки потребительской тары, используемых для производства этилового спирта, алкогольной и спиртосодержащей продукции, федеральных специальных марок и акцизных марок (в том числе поддельных) для маркировки алкогольной продукции);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Обеспечивает в установленном порядке перечисление денежных средств, полученных в результате реализации имущества, указанного в пункте 4.3 настоящего Положения;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Ведет учет договоров купли-продажи имущества, поименованного в настоящем Положении, а также администрирование платежей, поступающих в доход федерального бюджета в программе «1С:Предприятие»;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Осуществляет взаимодействие с Управлением Федерального казначейства по Ростовской области в части учета, подготовки отчетности, сверки данных бюджетного учета в отношении имущества, поименованного в настоящем Положении;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твляет в пределах своей компетенции прием граждан,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соответствие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своевременное и полное рассмотрение поручений Росимущества, принятие по ним решений и их безусловное исполнение в сроки,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указанные в поручениях, а в случае, когда срок в поручении не указан, в установленный законодательством Российской Федерации срок.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2.14.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взаимодействие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самоуправления, по вопросам в установленной сфере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Обеспечивает в установленной сфере деятельности подготовку всех необходимых материалов для принятия соответствующих решений, в том числе писем, приказов, распоряжений, протоколов, уведомлений, поручений, договоров и др.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2.16.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Согласовывает проекты положений, правил, инструкций Территориального управления,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документы в случаях, установленных актами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Территориального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Анализирует законодательство Российской Федерации,  а также правоприменительную практику в сфере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также обобщает практику применения законодательства в сфере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Территориального 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компетенции Отдела.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2.18.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в пределах компетенции Отдела работу по ведению (наполнению) информационных и информационно-технологических систем Росимущества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направленных на достижение целей Отдела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целом, а также в соответствии с поручениями Росимущества;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2.19.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формирование периодической отчетности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«Автомати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зированной системе учета и анализа данных периодической отчетности территориальных органов Росимущества» (далее – АСУиАО) Федеральной государственной информационно-аналитической системы «Единая система управления государственным имуществом» (ФГИАС ЕСУГИ),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утверждённым перечню форм периодической отчетности и порядку их формирования в АСУиАО.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0"/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2.20.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беспечивает формирование материалов для подготовки планов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 Росимущества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соответствующий период и отчеты об их исполнении.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3034"/>
        <w:jc w:val="both"/>
        <w:spacing w:line="276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30"/>
        <w:contextualSpacing/>
        <w:jc w:val="center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ПОЛНОМОЧИЯ ОТДЕЛА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Представляет Территориальное управление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государственных органах, органах местного самоуправления, предприятиях, учреждениях и организациях по всем вопросам, относящимся к компетенции отдела в соответствии с настоящим Положением.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пределах своей компетенции от имени Территориального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управления имеет право запрашивать информацию о деятельности всех органов государственной власти и органов местного самоуправления, предприятий, учреждений, организаций на территории Ростовской области в объемах, необходимых для выполнения функций отдела.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Рассматривает обращения органов государственной власти, органов местного самоуправления, организаций и граждан, связанные с вопросами, относящимися к компетенции отдела, и готовит проекты ответов на данные обращения.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0"/>
        <w:contextualSpacing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jc w:val="center"/>
        <w:spacing w:before="336" w:line="276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4. РУКОВОДСТВО ОТДЕЛОМ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</w:t>
        <w:tab/>
        <w:t xml:space="preserve">Отдел возглавляет начальник отдела, назначаемый и освобождаемый от должности приказом руководителя Территориального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отдела в своей деятельности руководствуется действующим законодательством и настоящим Положением, подчиняется непосредственно руководителю Территориального управления,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курирующему заместителю руководителя Территориального управления.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  <w:tab/>
        <w:t xml:space="preserve">Начальник отдела: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right="43" w:firstLine="744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вносит предложения руководителю Территориального управления о стру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туре и численности отдела, о назначении и освобождении работников отдела, их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ощрении и наложении на них дисциплинарных взысканий.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0"/>
        <w:contextualSpacing/>
        <w:ind w:right="43" w:firstLine="744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распределяет основные направления работы между специалистами отдела.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right="43" w:firstLine="744"/>
        <w:jc w:val="both"/>
        <w:spacing w:before="5" w:line="276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заслушивает специалистов отдела о выполнении ими своих функционал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обязанностей, а при необходимости требует от них отчет в письменной форме;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 соблюдение сотрудниками отдела общих принципов служебного поведения;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принимает меры по предотвращению конфликта интересов между сотрудниками отдела, а также между сотрудниками отдела и сотрудниками иных структурных подразделений Территориального 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firstLine="851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 реализацию обязанности сотрудников отдела сообщать о ставших 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известными, в связи с исполнением своих должностных обязанностей, случаях коррупционных или иных правонарушениях, а также участвует в проведении проверки достоверности таких сведений и в проведении служебных расследований случаев коррупционных проявлений.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right="43" w:firstLine="744"/>
        <w:jc w:val="both"/>
        <w:spacing w:before="5"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Осуществляет контроль над прохождением документации через отдел.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right="43" w:firstLine="744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 Визирует документы,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письма, подгото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ленные отделом.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right="0"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  <w:tab/>
        <w:t xml:space="preserve">Начальник отдела несет всю полноту ответственности за деятельность отдела.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0"/>
        <w:contextualSpacing/>
        <w:ind w:left="0" w:right="0" w:firstLine="709"/>
        <w:jc w:val="both"/>
        <w:spacing w:line="276" w:lineRule="auto"/>
        <w:shd w:val="clear" w:color="auto" w:fill="ffff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  <w:tab/>
        <w:t xml:space="preserve">Во время отсутствия начальника отдела руководство отделом осуществляет лицо, исполняющее обязанности начальника отде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contextualSpacing/>
        <w:ind w:left="0" w:right="0"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0"/>
        <w:jc w:val="center"/>
        <w:spacing w:after="648" w:line="276" w:lineRule="auto"/>
        <w:tabs>
          <w:tab w:val="left" w:pos="1450" w:leader="none"/>
        </w:tabs>
        <w:rPr>
          <w:rFonts w:ascii="Times New Roman" w:hAnsi="Times New Roman" w:cs="Times New Roman"/>
          <w:b/>
          <w:color w:val="000000"/>
          <w:spacing w:val="-10"/>
          <w:sz w:val="26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pacing w:val="-10"/>
          <w:sz w:val="26"/>
          <w:u w:val="single"/>
          <w:lang w:val="ru-RU"/>
        </w:rPr>
        <w:t xml:space="preserve">С ПОЛОЖЕНИЕМ ОБ ОТДЕЛЕ ОЗНАКОМЛЕНЫ:</w:t>
      </w:r>
      <w:r>
        <w:rPr>
          <w:rFonts w:ascii="Times New Roman" w:hAnsi="Times New Roman" w:eastAsia="Times New Roman" w:cs="Times New Roman"/>
          <w:b/>
          <w:color w:val="000000"/>
          <w:spacing w:val="-10"/>
          <w:sz w:val="26"/>
          <w:u w:val="single"/>
          <w:lang w:val="ru-RU"/>
        </w:rPr>
      </w:r>
      <w:r>
        <w:rPr>
          <w:rFonts w:ascii="Times New Roman" w:hAnsi="Times New Roman" w:cs="Times New Roman"/>
          <w:b/>
          <w:color w:val="000000"/>
          <w:spacing w:val="-10"/>
          <w:sz w:val="26"/>
          <w:u w:val="single"/>
        </w:rPr>
      </w:r>
    </w:p>
    <w:p>
      <w:pPr>
        <w:pStyle w:val="830"/>
        <w:ind w:left="192"/>
        <w:jc w:val="both"/>
        <w:spacing w:after="283" w:afterAutospacing="0" w:line="276" w:lineRule="auto"/>
        <w:shd w:val="clear" w:color="auto" w:fill="ffffff"/>
        <w:tabs>
          <w:tab w:val="left" w:pos="1450" w:leader="none"/>
        </w:tabs>
        <w:rPr>
          <w:rFonts w:ascii="Times New Roman" w:hAnsi="Times New Roman" w:cs="Times New Roman"/>
          <w:color w:val="000000"/>
          <w:spacing w:val="-1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Начальник отдела 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  </w:t>
        <w:tab/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__________________________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  <w:highlight w:val="none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szCs w:val="26"/>
          <w:highlight w:val="none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</w:r>
      <w:r>
        <w:rPr>
          <w:color w:val="000000"/>
          <w:spacing w:val="-10"/>
          <w:sz w:val="26"/>
          <w:lang w:val="ru-RU"/>
        </w:rPr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</w:t>
      </w:r>
      <w:r>
        <w:rPr>
          <w:color w:val="000000"/>
          <w:spacing w:val="-10"/>
          <w:sz w:val="26"/>
          <w:lang w:val="ru-RU"/>
        </w:rPr>
        <w:t xml:space="preserve">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______________</w:t>
      </w:r>
      <w:r>
        <w:rPr>
          <w:color w:val="000000"/>
          <w:spacing w:val="-10"/>
          <w:sz w:val="26"/>
          <w:lang w:val="ru-RU"/>
        </w:rPr>
        <w:t xml:space="preserve">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</w:p>
    <w:p>
      <w:pPr>
        <w:pStyle w:val="830"/>
        <w:ind w:left="192" w:firstLine="0"/>
        <w:jc w:val="both"/>
        <w:spacing w:after="283" w:afterAutospacing="0" w:line="240" w:lineRule="auto"/>
        <w:tabs>
          <w:tab w:val="left" w:pos="1450" w:leader="none"/>
        </w:tabs>
        <w:rPr>
          <w:color w:val="000000"/>
          <w:spacing w:val="-10"/>
          <w:sz w:val="26"/>
          <w:lang w:val="ru-RU"/>
        </w:rPr>
      </w:pPr>
      <w:r>
        <w:rPr>
          <w:color w:val="000000"/>
          <w:spacing w:val="-10"/>
          <w:sz w:val="26"/>
          <w:lang w:val="ru-RU"/>
        </w:rPr>
        <w:tab/>
        <w:tab/>
        <w:tab/>
        <w:t xml:space="preserve">_____________</w:t>
      </w:r>
      <w:r>
        <w:rPr>
          <w:color w:val="000000"/>
          <w:spacing w:val="-10"/>
          <w:sz w:val="26"/>
          <w:lang w:val="ru-RU"/>
        </w:rPr>
        <w:t xml:space="preserve">_________________________________</w:t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lang w:val="ru-RU"/>
        </w:rPr>
      </w:r>
      <w:r>
        <w:rPr>
          <w:color w:val="000000"/>
          <w:spacing w:val="-10"/>
          <w:sz w:val="26"/>
          <w:szCs w:val="26"/>
          <w:highlight w:val="none"/>
          <w:lang w:val="ru-RU"/>
        </w:rPr>
      </w:r>
      <w:r>
        <w:rPr>
          <w:color w:val="000000"/>
          <w:spacing w:val="-10"/>
          <w:sz w:val="26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836" w:customStyle="1">
    <w:name w:val="Интернет-ссылка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973B76FBA2167B499FC80F84AAA5AECF3A34D2EA7E4C7F7C4598AE8B104FF44B6237E41D849628C24D59924197E2629E4874674C655DP5IDJ" TargetMode="External"/><Relationship Id="rId9" Type="http://schemas.openxmlformats.org/officeDocument/2006/relationships/hyperlink" Target="consultantplus://offline/ref=6A83B22CAEDC48ADD4F7E532089745C6F7ECB9D6D831434704CCF65B7205295C1992623CEE87B5EE3103E9DB870DTDJ" TargetMode="External"/><Relationship Id="rId10" Type="http://schemas.openxmlformats.org/officeDocument/2006/relationships/hyperlink" Target="consultantplus://offline/ref=6A83B22CAEDC48ADD4F7E532089745C6F7ECB9D1DA30434704CCF65B7205295C0B923A30E885A8E5614CAF8E88DEEAA4CEEFDBDA7AD803T8J" TargetMode="External"/><Relationship Id="rId11" Type="http://schemas.openxmlformats.org/officeDocument/2006/relationships/hyperlink" Target="consultantplus://offline/ref=6A83B22CAEDC48ADD4F7E532089745C6F7ECB9D1DA30434704CCF65B7205295C0B923A30ED85ACE5614CAF8E88DEEAA4CEEFDBDA7AD803T8J" TargetMode="External"/><Relationship Id="rId12" Type="http://schemas.openxmlformats.org/officeDocument/2006/relationships/hyperlink" Target="consultantplus://offline/ref=6A83B22CAEDC48ADD4F7E532089745C6F7ECB9D1DA30434704CCF65B7205295C0B923A35ED8BFFBF7148E6DB82C0EDBED0E9C5DA07T9J" TargetMode="External"/><Relationship Id="rId13" Type="http://schemas.openxmlformats.org/officeDocument/2006/relationships/hyperlink" Target="consultantplus://offline/ref=4D4095EFD707CAA4219803DFDC5C6571C86DB7E473B37D54571EC5E8BEC7AEB724EF93BD4C6B7314416E1494298CB045BAB541B110C0V1J" TargetMode="External"/><Relationship Id="rId14" Type="http://schemas.openxmlformats.org/officeDocument/2006/relationships/hyperlink" Target="consultantplus://offline/ref=973B76FBA2167B499FC80F84AAA5AECF3A34D2EA7E4C7F7C4598AE8B104FF44B6237E41D849628C24D59924197E2629E4874674C655DP5IDJ" TargetMode="External"/><Relationship Id="rId15" Type="http://schemas.openxmlformats.org/officeDocument/2006/relationships/hyperlink" Target="consultantplus://offline/ref=6A83B22CAEDC48ADD4F7E532089745C6F7ECB9D6D831434704CCF65B7205295C1992623CEE87B5EE3103E9DB870DTDJ" TargetMode="External"/><Relationship Id="rId16" Type="http://schemas.openxmlformats.org/officeDocument/2006/relationships/hyperlink" Target="consultantplus://offline/ref=6A83B22CAEDC48ADD4F7E532089745C6F7ECB9D1DA30434704CCF65B7205295C0B923A30E885A8E5614CAF8E88DEEAA4CEEFDBDA7AD803T8J" TargetMode="External"/><Relationship Id="rId17" Type="http://schemas.openxmlformats.org/officeDocument/2006/relationships/hyperlink" Target="consultantplus://offline/ref=6A83B22CAEDC48ADD4F7E532089745C6F7ECB9D1DA30434704CCF65B7205295C0B923A30ED85ACE5614CAF8E88DEEAA4CEEFDBDA7AD803T8J" TargetMode="External"/><Relationship Id="rId18" Type="http://schemas.openxmlformats.org/officeDocument/2006/relationships/hyperlink" Target="consultantplus://offline/ref=6A83B22CAEDC48ADD4F7E532089745C6F7ECB9D1DA30434704CCF65B7205295C0B923A35ED8BFFBF7148E6DB82C0EDBED0E9C5DA07T9J" TargetMode="External"/><Relationship Id="rId19" Type="http://schemas.openxmlformats.org/officeDocument/2006/relationships/hyperlink" Target="consultantplus://offline/ref=4D4095EFD707CAA4219803DFDC5C6571C86DB7E473B37D54571EC5E8BEC7AEB724EF93BD4C6B7314416E1494298CB045BAB541B110C0V1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iuliia.ivankova</cp:lastModifiedBy>
  <cp:revision>3</cp:revision>
  <dcterms:modified xsi:type="dcterms:W3CDTF">2026-03-13T07:45:12Z</dcterms:modified>
</cp:coreProperties>
</file>