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Проект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ДОГОВОР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купли-продажи древесины №______________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г.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Ростов-на-Дону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  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               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"_____" __________ 20__ г.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Т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ерриториальное управление Федерального агентства по управлению государственным имуществом в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Ростовской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 именуемое в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дальнейшем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«Продавец», в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лице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________________________________________________, действующего на основании _________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______________, с одной стороны и _____________________________________________________________________________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(полное наименование организации или фамилия, имя, отчество гражданина,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в том числе индивидуального предпринимателя)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менуемый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ая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дальнейшем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«Покупатель», в лице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       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(фамилия, имя, отчество гражданина или лица, действующего от имени организации либо от имени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                           гражданина, в том числе индивидуального предпринимателя, по доверенности)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действующего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на основании _______________________________________________________,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(документ, удостоверяющий личность, представительство)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с другой стороны, 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в соответствии со ст. 43 - 46 Лесного кодекса Российской Федерации, Постановлением Правительства от 23 июля 2009 г. № 604, положениями информационного сообщения о продаже древесины, опубликованного на сайте </w:t>
      </w:r>
      <w:r>
        <w:rPr>
          <w:rFonts w:ascii="Calibri" w:hAnsi="Calibri" w:eastAsia="Calibri" w:cs="Times New Roman"/>
          <w:sz w:val="26"/>
          <w:szCs w:val="26"/>
        </w:rPr>
        <w:t xml:space="preserve">______________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 от «____»_________г.  процедура №____(далее - информационное сообщение), и на основании Протокола от «____»________г. №____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_______________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, заключили настоящий Договор (далее - настоящий Договор) о нижеследующем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-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Продавец передает в собственность Покупателю, а Покупатель обязуется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оплатить и принять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следующее Имущество: Количество, породный состав древесины: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______________________________________________ (далее - Имущество)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1.2.  Указанное 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пункте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1.1 Имущество является древесиной, которая получена при использовании лесов, расположенных на землях лесного фонда, в соответствии со статьями 43-46 Лесного кодекса Российской Федерации, и продается на основании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Правительства от 23 июля 2009 г. № 604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1.2. Под древесиной в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настоящем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Договоре понимаются необработанные круглые лесоматериалы.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1.3. Место нахождения Имущества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________________________</w:t>
      </w:r>
      <w:r>
        <w:rPr>
          <w:rFonts w:ascii="Times New Roman" w:hAnsi="Times New Roman" w:eastAsia="Calibri" w:cs="Times New Roman"/>
          <w:color w:val="000000"/>
          <w:sz w:val="26"/>
          <w:szCs w:val="26"/>
        </w:rPr>
        <w:t xml:space="preserve">___________________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tabs>
          <w:tab w:val="left" w:pos="3630" w:leader="underscore"/>
          <w:tab w:val="left" w:pos="4588" w:leader="underscore"/>
          <w:tab w:val="left" w:pos="6676" w:leader="underscore"/>
          <w:tab w:val="left" w:pos="7382" w:leader="hyphen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-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Цена Имущества и порядок его оплаты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tabs>
          <w:tab w:val="left" w:pos="455" w:leader="none"/>
          <w:tab w:val="left" w:pos="6251" w:leader="underscore"/>
          <w:tab w:val="left" w:pos="7173" w:leader="underscore"/>
          <w:tab w:val="left" w:pos="9102" w:leader="hyphen"/>
        </w:tabs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2.1.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ена Имущества составляет 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._____коп.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Цена имущества указана без НДС.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tabs>
          <w:tab w:val="left" w:pos="455" w:leader="none"/>
          <w:tab w:val="left" w:pos="6251" w:leader="underscore"/>
          <w:tab w:val="left" w:pos="7173" w:leader="underscore"/>
          <w:tab w:val="left" w:pos="9102" w:leader="hyphen"/>
        </w:tabs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Дополнительно к цене Имущества, указанной в п.2.1 настоящего Договора сумма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НДС составляет ________руб. _______коп.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contextualSpacing/>
        <w:ind w:left="-709" w:firstLine="709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Итого цена Имущества с учетом НДС составляет________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.____коп.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numPr>
          <w:ilvl w:val="1"/>
          <w:numId w:val="1"/>
        </w:num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Оплата цены Имущества, указанной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пункте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2.1. производится путем безналичного расчета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следующем порядке: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2.2.1. </w:t>
      </w:r>
      <w:r>
        <w:rPr>
          <w:rFonts w:ascii="Times New Roman" w:hAnsi="Times New Roman" w:eastAsia="Calibri" w:cs="Times New Roman"/>
          <w:bCs/>
          <w:sz w:val="26"/>
          <w:szCs w:val="26"/>
          <w:lang w:eastAsia="ar-SA"/>
        </w:rPr>
        <w:t xml:space="preserve">Не позднее 5 рабочих дней со дня заключения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Договора </w:t>
      </w:r>
      <w:r>
        <w:rPr>
          <w:rFonts w:ascii="Times New Roman" w:hAnsi="Times New Roman" w:eastAsia="Calibri" w:cs="Times New Roman"/>
          <w:bCs/>
          <w:sz w:val="26"/>
          <w:szCs w:val="26"/>
          <w:lang w:eastAsia="ar-SA"/>
        </w:rPr>
        <w:t xml:space="preserve">Покупатель перечисляет продавцу цену имущества, указанную в пункте 2.1 Договора, за вычетом суммы налогов, предъявленных продавцом покупателю в размере</w:t>
      </w:r>
      <w:r>
        <w:rPr>
          <w:rFonts w:ascii="Times New Roman" w:hAnsi="Times New Roman" w:eastAsia="Calibri" w:cs="Times New Roman"/>
          <w:bCs/>
          <w:sz w:val="26"/>
          <w:szCs w:val="26"/>
          <w:lang w:eastAsia="ar-SA"/>
        </w:rPr>
        <w:t xml:space="preserve"> _________________ (_____________) </w:t>
      </w:r>
      <w:r>
        <w:rPr>
          <w:rFonts w:ascii="Times New Roman" w:hAnsi="Times New Roman" w:eastAsia="Calibri" w:cs="Times New Roman"/>
          <w:bCs/>
          <w:sz w:val="26"/>
          <w:szCs w:val="26"/>
          <w:lang w:eastAsia="ar-SA"/>
        </w:rPr>
        <w:t xml:space="preserve">руб.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Оплата указанной суммы производится путем перечисления денежных средств по реквизитам: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Территориально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управлени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Федерального агентства по управлению государственным имуществом в Ростовской области: ИНН: 6163097776, КПП: 616401001, БИК: 016015102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КБК: 167 1 14 14012 01 6000 440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Банковский счет, входящий в состав ЕКС: 40102810845370000050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Банк получателя - ОТДЕЛЕНИЕ РОСТОВ-НА-ДОНУ//УФК по Ростовской области, г. Ростов-на-Дону, Номер казначейского счета: 03100643000000015800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код поля НПА 0013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Получатель: УФК по Ростовской области (ТУ Росимущества в Ростовской области, л/с 04581А21820), ОКТМО:  60701000.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Назначение платежа: «Оплата по договору купли-продажи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древесины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№ __ от ____20__ года,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без НДС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2.2.2. Если Покупатель является физическим лицом, не являющимся индивидуальным предпринимателем,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не позднее 5 рабочих дней </w:t>
      </w:r>
      <w:r>
        <w:rPr>
          <w:rFonts w:ascii="Times New Roman" w:hAnsi="Times New Roman" w:eastAsia="Calibri" w:cs="Times New Roman"/>
          <w:bCs/>
          <w:sz w:val="26"/>
          <w:szCs w:val="26"/>
          <w:lang w:eastAsia="ar-SA"/>
        </w:rPr>
        <w:t xml:space="preserve">со дня заключения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Договора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Покупатель перечисляет продавцу сумму налогов, предъявленных продавцом (НДС) в размере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___________ (_________)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руб.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54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6"/>
          <w:szCs w:val="26"/>
        </w:rPr>
        <w:outlineLvl w:val="1"/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Оплата указанной суммы производится путем перечисления денежных средств по реквизитам: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  <w:t xml:space="preserve">Территориально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управлени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Федерального агентства по управлению государственным имуществом в Ростовской области: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ИНН: 6163097776, КПП: 616401001, БИК: 016015102,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Банковс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кий счет, входящий в состав ЕКС: 40102810745370000024, Банк получателя – ОКЦ № 1 ВВГУ Банка России//УФК по Нижегородской области, г. Нижний Новгород, Номер казначейского счета: 03212643000000013230, Получатель: УФК по Нижегородской области (ТУ Росимущества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Ростовской области, л/с 05581А21820), ОКТМО:  60701000, код поля НПА 0013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Назначение платежа: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сумма НДС по договору купли-продажи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древесины №__ от ______ 20__ года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».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2.3 Покупатели, являющиеся юридическими лицами и индивидуальными предпринимателями с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умм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налога (НДС), указанного в пункте 2.1 настоящего Договора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уплачиваю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т самостоятельно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в доход федерального бюджета на основании п.3 ст.161 Налогового кодекса Российской Федерации.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2.4.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на расчетный счет Продавца в порядке, указанном в разделе 2 настоящего Договора.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2.5. </w:t>
      </w:r>
      <w:r>
        <w:rPr>
          <w:rFonts w:ascii="Times New Roman" w:hAnsi="Times New Roman" w:eastAsia="Calibri" w:cs="Times New Roman"/>
          <w:bCs/>
          <w:color w:val="000000"/>
          <w:sz w:val="26"/>
          <w:szCs w:val="26"/>
        </w:rPr>
        <w:t xml:space="preserve">Перечисляя стоимость имущества на счет Продавца, Покупатель подтверждает отсутствие претензий к Продавцу по количеству, качеству, ассортименту Имущества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как оговоренным, так и не оговоренным в настоящем Договоре</w:t>
      </w:r>
      <w:r>
        <w:rPr>
          <w:rFonts w:ascii="Times New Roman" w:hAnsi="Times New Roman" w:eastAsia="Calibri" w:cs="Times New Roman"/>
          <w:bCs/>
          <w:color w:val="000000"/>
          <w:sz w:val="26"/>
          <w:szCs w:val="26"/>
        </w:rPr>
        <w:t xml:space="preserve"> и несет всю ответственность за приобретенное Имущество</w:t>
      </w:r>
      <w:r>
        <w:rPr>
          <w:rFonts w:ascii="Times New Roman" w:hAnsi="Times New Roman" w:eastAsia="Calibri" w:cs="Times New Roman"/>
          <w:bCs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Calibri" w:cs="Calibri"/>
          <w:sz w:val="26"/>
          <w:szCs w:val="26"/>
        </w:rPr>
      </w:pP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При этом Покупатель не вправе распоряжаться имуществом, </w:t>
      </w: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в том числе вывозить его с места его </w:t>
      </w: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нахождения, до возникновения права собственности на имущество </w:t>
      </w: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в соответствии с</w:t>
      </w: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 п. 3.1 настоящего договора.</w:t>
      </w:r>
      <w:r>
        <w:rPr>
          <w:rFonts w:ascii="Times New Roman" w:hAnsi="Times New Roman" w:eastAsia="Calibri" w:cs="Calibri"/>
          <w:sz w:val="26"/>
          <w:szCs w:val="26"/>
          <w:lang w:eastAsia="ar-SA"/>
        </w:rPr>
      </w:r>
      <w:r>
        <w:rPr>
          <w:rFonts w:ascii="Times New Roman" w:hAnsi="Times New Roman" w:eastAsia="Calibri" w:cs="Calibri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Calibri" w:cs="Calibri"/>
          <w:sz w:val="26"/>
          <w:szCs w:val="26"/>
        </w:rPr>
      </w:pPr>
      <w:r>
        <w:rPr>
          <w:rFonts w:ascii="Times New Roman" w:hAnsi="Times New Roman" w:eastAsia="Calibri" w:cs="Calibri"/>
          <w:sz w:val="26"/>
          <w:szCs w:val="26"/>
          <w:lang w:eastAsia="ar-SA"/>
        </w:rPr>
      </w:r>
      <w:r>
        <w:rPr>
          <w:rFonts w:ascii="Times New Roman" w:hAnsi="Times New Roman" w:eastAsia="Calibri" w:cs="Calibri"/>
          <w:sz w:val="26"/>
          <w:szCs w:val="26"/>
          <w:lang w:eastAsia="ar-SA"/>
        </w:rPr>
      </w:r>
      <w:r>
        <w:rPr>
          <w:rFonts w:ascii="Times New Roman" w:hAnsi="Times New Roman" w:eastAsia="Calibri" w:cs="Calibri"/>
          <w:sz w:val="26"/>
          <w:szCs w:val="26"/>
        </w:rPr>
      </w:r>
    </w:p>
    <w:p>
      <w:pPr>
        <w:numPr>
          <w:ilvl w:val="0"/>
          <w:numId w:val="1"/>
        </w:numPr>
        <w:contextualSpacing w:val="0"/>
        <w:ind w:left="-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Переход права собственности</w:t>
      </w:r>
      <w:r>
        <w:rPr>
          <w:rFonts w:ascii="Times New Roman" w:hAnsi="Times New Roman" w:eastAsia="Calibri" w:cs="Times New Roman"/>
          <w:b/>
          <w:sz w:val="26"/>
          <w:szCs w:val="26"/>
          <w:lang w:eastAsia="ar-SA"/>
        </w:rPr>
      </w:r>
      <w:r>
        <w:rPr>
          <w:rFonts w:ascii="Times New Roman" w:hAnsi="Times New Roman" w:eastAsia="Calibri" w:cs="Times New Roman"/>
          <w:b/>
          <w:sz w:val="26"/>
          <w:szCs w:val="26"/>
        </w:rPr>
      </w:r>
    </w:p>
    <w:p>
      <w:pPr>
        <w:pStyle w:val="832"/>
        <w:contextualSpacing/>
        <w:ind w:left="-850" w:right="-92" w:firstLine="568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3.1.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Право собственности на древесину у Покупателя возникает после надлежащего выполнения обязательств, в соответствии с разделом 2 настоящего Договора.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850" w:right="-92" w:firstLine="568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3.2. Акт приема-передачи Имущества не составляется. Моментом передачи Имущества является дата поступления денежных средств, предусмотренных п. 2.1. на счет Продавца.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-709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  <w:lang w:eastAsia="ar-SA"/>
        </w:rPr>
      </w:r>
    </w:p>
    <w:p>
      <w:pPr>
        <w:numPr>
          <w:ilvl w:val="0"/>
          <w:numId w:val="1"/>
        </w:numPr>
        <w:contextualSpacing/>
        <w:ind w:left="-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Права и обязанности сторон.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4.1.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Продавец обязан: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4.1.1.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В течение 5 (пяти) рабочих дней со дня поступления от Покупателя подписанного проект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а Договора купли – продажи подписать его и направить копию Покупателю или отклонить представленный проект Договора с указанием причин, если проект договора не соответствует проекту договора купли-продажи, опубликованному в сообщении о реализации Имущества.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4.2.</w:t>
      </w:r>
      <w:r>
        <w:rPr>
          <w:rFonts w:ascii="Times New Roman" w:hAnsi="Times New Roman" w:eastAsia="Calibri" w:cs="Times New Roman"/>
          <w:sz w:val="26"/>
          <w:szCs w:val="26"/>
        </w:rPr>
        <w:tab/>
        <w:t xml:space="preserve">Покупатель обязан: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4.2.1.</w:t>
      </w:r>
      <w:r>
        <w:rPr>
          <w:rFonts w:ascii="Times New Roman" w:hAnsi="Times New Roman" w:eastAsia="Calibri" w:cs="Times New Roman"/>
          <w:sz w:val="26"/>
          <w:szCs w:val="26"/>
        </w:rPr>
        <w:tab/>
        <w:t xml:space="preserve">Оплатить Имущество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порядке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в срок указанные в пункте 2.2 настоящего Договора.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Calibri"/>
          <w:sz w:val="26"/>
          <w:szCs w:val="26"/>
          <w:lang w:eastAsia="ar-SA"/>
        </w:rPr>
        <w:t xml:space="preserve">4.2.2. В течение 2 рабочих дней после оплаты Имущества представить Продавцу платежное поручение, подтверждающее оплату Имущества.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4.2.3.</w:t>
      </w:r>
      <w:r>
        <w:rPr>
          <w:rFonts w:ascii="Times New Roman" w:hAnsi="Times New Roman" w:eastAsia="Calibri" w:cs="Times New Roman"/>
          <w:sz w:val="26"/>
          <w:szCs w:val="26"/>
        </w:rPr>
        <w:tab/>
        <w:t xml:space="preserve">Принять Имущество без акта приема-передачи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месте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его нахождения.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4.2.4. Вывезти приобретенную древесину в течение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ar-SA"/>
        </w:rPr>
        <w:t xml:space="preserve">30 (тридцати) дней со дня заключения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ar-SA"/>
        </w:rPr>
        <w:t xml:space="preserve">Договора, о чем письменно уведомить Продавца в течение 5 рабочих дней.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ar-SA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окументом, подтверждающим исполнение Покупателем требования по вывозу древесины в указа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ный срок является Уведомление Покупателя о вывозе древесины,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 указанием даты вывоза, представляемое им Продавцу не позднее 5 (пяти) дней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 даты вывоза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древесины с места хранения в полном объёме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4.2.5.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Обеспечить проведение мероприятий, предусмотренных Федеральным законом от 28.12.2013 № 415-ФЗ «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внесении изменений в Лесной кодекс Российской Федерации и Кодекс Российской Федерации об административных правонарушениях», связанных с учетом, маркировкой (при необходимости), транспортировкой древесины, а также подачей декларации о сделке с древесиной.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contextualSpacing/>
        <w:ind w:left="-709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5. Качество. Гарантии качества.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5.1. Качество, состояние и комплектность Имущества, передаваемого по настоящему Договору,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проверены Покупателем и известны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ему до подписания настоящего Договора.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5.2. С подписанием настоящего договора Покупатель подтверждает, что удостоверился в надлежащем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качестве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 количестве, ассортименте Имущества, недостатки у Имущества отсутствуют.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5.3.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Продавец не несет отве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претензий и невыясненных вопросов не имеет.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6.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 xml:space="preserve">Ответственность сторон.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6.1.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В случае просрочки платежей, указанных в разделе 2 настоящего Договора, Покупатель уплачивает пеню в размере одного процента от суммы, подлежащей уплате, за каждый день просрочки.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6.2.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  <w:t xml:space="preserve">В случае отказа или уклонения покупателя от оплаты имущества в установленные сроки продавец вправе отказаться от исполнения договора и расторгнуть настоящий Договор в одностороннем порядке путем направления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Исполнителю соответствующего уведомления. Настоящий Договор считается расторгнутым с момента направления соответствующего уведомления. Задаток Покупателю не возвращается.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6.3. В случае неисполнения Покупателем обязательств по вывозу имущества в срок, указанный в пункте 4.2.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настоящего Договора, последний уплачивает штраф в размере 50% от стоимости имущества, а также 1% от стоимости имущества, указанной в п. 2.1 настоящего договора за каждый последующий календарный день просрочки.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54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6"/>
          <w:szCs w:val="26"/>
        </w:rPr>
        <w:outlineLvl w:val="1"/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Оплата указанной суммы производится путем перечисления денежных средств по реквизитам: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bCs/>
          <w:sz w:val="26"/>
          <w:szCs w:val="26"/>
        </w:rPr>
      </w:r>
    </w:p>
    <w:p>
      <w:pPr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Территориальное управление Федерального агентства по управлению государственным имуществом в Ростовской области: ИНН: 6163097776, КПП: 616401001,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БИК: 016015102,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КБК: 167 1 1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07090 01 9000 1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40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Банковский счет, входящий в состав ЕКС: 40102810845370000050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Банк получателя - ОТДЕЛЕНИЕ РОСТОВ-НА-ДОНУ//УФК по Ростовской области, г. Ростов-на-Дону, Номер казначейского счета: 03100643000000015800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Получатель: УФК по Ростовской области (ТУ Росимущества в Ростовской области, л/с 04581А21820), ОКТМО:  60701000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Н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азначение платежа: оплата штрафа по договору купли-продажи №___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от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_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6.4.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связи с тем, что  Продавцу имущество не передается по акту приема-передачи,  ответственность за ненадлежащее качество имущества Продавец не несет.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6.5.Меры ответственности Сторон, не предусмотренные настоящим Договором, применяются в соответствии с нормами гражданского законодательства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8"/>
        <w:jc w:val="center"/>
        <w:spacing w:after="0" w:line="240" w:lineRule="auto"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7.</w:t>
      </w:r>
      <w:r>
        <w:rPr>
          <w:rFonts w:ascii="Times New Roman" w:hAnsi="Times New Roman" w:eastAsia="Calibri" w:cs="Times New Roman"/>
          <w:b/>
          <w:sz w:val="26"/>
          <w:szCs w:val="26"/>
        </w:rPr>
        <w:t xml:space="preserve">Обстоятельства непреодолимой силы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eastAsia="Calibri" w:cs="Times New Roman"/>
          <w:b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7.1.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7.2.</w:t>
      </w:r>
      <w:r>
        <w:rPr>
          <w:rFonts w:ascii="Times New Roman" w:hAnsi="Times New Roman" w:eastAsia="Calibri" w:cs="Times New Roman"/>
          <w:sz w:val="26"/>
          <w:szCs w:val="26"/>
        </w:rPr>
        <w:t xml:space="preserve">К обстоятельствам, указанным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пункте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7.1 настоящего Договора, относятся: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 и другие события, которые компетентный суд признает и объявит случаями непреодолимой силы.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7.3.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Сторона Договора, подвергшаяся действию таких обстоятельств, обязана немедленно в письменном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виде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уведомить другую Сторону Договора о возникновении, виде и возмож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7.4.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Наступление обстоятельств, предусм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отренных п. 7.2, при условии соблюдения требований пункте 7.3.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7.5.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случае если обстоятельства, предусмотренные настоящей статьей, длятся более шести месяцев, Стороны совместно определят дальнейшую юридическую судьбу настоящего Договора.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8"/>
        <w:jc w:val="center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8.</w:t>
      </w:r>
      <w:r>
        <w:rPr>
          <w:rFonts w:ascii="Times New Roman" w:hAnsi="Times New Roman" w:eastAsia="Calibri" w:cs="Times New Roman"/>
          <w:b/>
          <w:sz w:val="26"/>
          <w:szCs w:val="26"/>
        </w:rPr>
        <w:t xml:space="preserve">Порядок изменения, дополнения и расторжения Договора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eastAsia="Calibri" w:cs="Times New Roman"/>
          <w:b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8.1.</w:t>
      </w:r>
      <w:r>
        <w:rPr>
          <w:rFonts w:ascii="Times New Roman" w:hAnsi="Times New Roman" w:eastAsia="Calibri" w:cs="Times New Roman"/>
          <w:sz w:val="26"/>
          <w:szCs w:val="26"/>
        </w:rPr>
        <w:t xml:space="preserve">Любые изменения и дополнения к настоящему Договору 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являются его неотъемлемой частью и имеют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силу только в том случае, если они оформлены в письменном виде и подписаны Сторонами.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8.2.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Досрочное расторжение настоящего Договора может иметь место по соглашению Сторон,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по инициативе одной из сторон – в случае нарушения договорных обязатель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ств др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угой стороной,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либо по иным основаниям, предусмотренным действующим на территории Российской Федерации законодательством, с возмещением понесенных убытков. 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center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 xml:space="preserve">9.</w:t>
      </w:r>
      <w:r>
        <w:rPr>
          <w:rFonts w:ascii="Times New Roman" w:hAnsi="Times New Roman" w:eastAsia="Calibri" w:cs="Times New Roman"/>
          <w:b/>
          <w:sz w:val="26"/>
          <w:szCs w:val="26"/>
        </w:rPr>
        <w:t xml:space="preserve">Прочие условия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eastAsia="Calibri" w:cs="Times New Roman"/>
          <w:b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9.1.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Все споры и разногласия в связи с реализацией настоящего Договора разрешаются путем переговоров между сторонами. Если в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результате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переговоров согласие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не достигнуто, спор подлежит рассмотрению в судебном порядке в Арбитражном суде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Ростовской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left="-709" w:firstLine="708"/>
        <w:jc w:val="both"/>
        <w:spacing w:after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9.2.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Настоящий Договор составлен в двух экземплярах - по одному для каждой из Сторон и действует с момента подписания и до полного исполнения Сторонами своих обязательств по настоящему Договору.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contextualSpacing/>
        <w:ind w:left="-709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709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  <w:t xml:space="preserve">10. Адреса, банковские реквизиты и подписи сторон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left="-709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10008" w:type="dxa"/>
        <w:tblInd w:w="-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8" w:type="dxa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Продавец: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Территориальное управление Федерального агентства по управлению государственным имуществом в Ростовской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(ТУ Росимущества в Ростовской области)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344002, г. Ростов-на-Дону, ул. Б.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Садовая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68/40/55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ИНН: 6163097776, КПП: 616401001, БИК: 016015102, Банковский счет, входящий в состав ЕКС: 40102810845370000050, Банк получателя - ОТДЕЛЕНИЕ РОСТОВ-НА-ДОНУ//УФК по Ростовской области, г. Ростов-на-Дону, Номер казначейского счета: 03212643000000015800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         Покупатель: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right="-284"/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right="-108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left="-850" w:right="-108" w:firstLine="0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______________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lang w:eastAsia="ru-RU"/>
        </w:rPr>
        <w:t xml:space="preserve">____  /_______________/</w:t>
      </w:r>
      <w:r>
        <w:rPr>
          <w:rFonts w:ascii="Times New Roman" w:hAnsi="Times New Roman" w:eastAsia="Times New Roman" w:cs="Times New Roman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lang w:eastAsia="ru-RU"/>
        </w:rPr>
        <w:t xml:space="preserve">____  /_______________/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left="-709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  <w:lang w:eastAsia="ar-SA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ar-SA"/>
        </w:rPr>
      </w:r>
      <w:r>
        <w:rPr>
          <w:rFonts w:ascii="Times New Roman" w:hAnsi="Times New Roman" w:eastAsia="Times New Roman" w:cs="Times New Roman"/>
          <w:sz w:val="25"/>
          <w:szCs w:val="25"/>
          <w:lang w:eastAsia="ar-SA"/>
        </w:rPr>
      </w:r>
      <w:r>
        <w:rPr>
          <w:rFonts w:ascii="Times New Roman" w:hAnsi="Times New Roman" w:eastAsia="Times New Roman" w:cs="Times New Roman"/>
          <w:sz w:val="25"/>
          <w:szCs w:val="25"/>
          <w:lang w:eastAsia="ar-SA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o.gaynutdinova</cp:lastModifiedBy>
  <cp:revision>3</cp:revision>
  <dcterms:modified xsi:type="dcterms:W3CDTF">2026-06-02T10:59:35Z</dcterms:modified>
</cp:coreProperties>
</file>