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Территориальное управление Федерального агентства по управлению государственным имуществом в Ростовской области</w:t>
      </w:r>
      <w:r>
        <w:rPr>
          <w:b/>
        </w:rPr>
      </w:r>
      <w:r>
        <w:rPr>
          <w:b/>
        </w:rPr>
      </w:r>
    </w:p>
    <w:p>
      <w:pPr>
        <w:jc w:val="center"/>
        <w:rPr>
          <w:b/>
          <w:sz w:val="32"/>
        </w:rPr>
      </w:pPr>
      <w:r>
        <w:rPr>
          <w:b/>
          <w:sz w:val="32"/>
        </w:rPr>
      </w:r>
      <w:r>
        <w:rPr>
          <w:b/>
          <w:sz w:val="32"/>
        </w:rPr>
      </w:r>
      <w:r>
        <w:rPr>
          <w:b/>
          <w:sz w:val="32"/>
        </w:rPr>
      </w:r>
    </w:p>
    <w:p>
      <w:pPr>
        <w:jc w:val="center"/>
        <w:rPr>
          <w:b/>
          <w:sz w:val="32"/>
        </w:rPr>
      </w:pPr>
      <w:r>
        <w:rPr>
          <w:b/>
          <w:sz w:val="32"/>
        </w:rPr>
      </w:r>
      <w:r>
        <w:rPr>
          <w:b/>
          <w:sz w:val="32"/>
        </w:rPr>
      </w:r>
      <w:r>
        <w:rPr>
          <w:b/>
          <w:sz w:val="32"/>
        </w:rPr>
      </w:r>
    </w:p>
    <w:p>
      <w:pPr>
        <w:jc w:val="center"/>
        <w:rPr>
          <w:b/>
          <w:sz w:val="28"/>
        </w:rPr>
      </w:pPr>
      <w:r>
        <w:rPr>
          <w:b/>
          <w:sz w:val="28"/>
        </w:rPr>
        <w:t xml:space="preserve">ИНФОРМАЦИОННОЕ СООБЩЕНИЕ</w:t>
      </w:r>
      <w:r>
        <w:rPr>
          <w:b/>
          <w:sz w:val="28"/>
        </w:rPr>
      </w:r>
      <w:r>
        <w:rPr>
          <w:b/>
          <w:sz w:val="28"/>
        </w:rPr>
      </w:r>
    </w:p>
    <w:p>
      <w:pPr>
        <w:jc w:val="center"/>
        <w:tabs>
          <w:tab w:val="left" w:pos="851" w:leader="none"/>
        </w:tabs>
        <w:rPr>
          <w:b/>
          <w:sz w:val="26"/>
        </w:rPr>
      </w:pPr>
      <w:r>
        <w:rPr>
          <w:b/>
          <w:sz w:val="26"/>
        </w:rPr>
        <w:t xml:space="preserve">о проведен</w:t>
      </w:r>
      <w:r>
        <w:rPr>
          <w:b/>
          <w:sz w:val="26"/>
        </w:rPr>
        <w:t xml:space="preserve">ии ау</w:t>
      </w:r>
      <w:r>
        <w:rPr>
          <w:b/>
          <w:sz w:val="26"/>
        </w:rPr>
        <w:t xml:space="preserve">кциона в электронной форме по продаже</w:t>
      </w:r>
      <w:r>
        <w:rPr>
          <w:b/>
          <w:sz w:val="26"/>
        </w:rPr>
      </w:r>
      <w:r>
        <w:rPr>
          <w:b/>
          <w:sz w:val="26"/>
        </w:rPr>
      </w:r>
    </w:p>
    <w:p>
      <w:pPr>
        <w:jc w:val="center"/>
        <w:rPr>
          <w:b/>
          <w:bCs/>
          <w:sz w:val="25"/>
          <w:szCs w:val="25"/>
        </w:rPr>
      </w:pPr>
      <w:r>
        <w:rPr>
          <w:b/>
          <w:bCs/>
          <w:i/>
          <w:sz w:val="25"/>
          <w:szCs w:val="25"/>
        </w:rPr>
      </w:r>
      <w:r>
        <w:rPr>
          <w:b/>
          <w:sz w:val="25"/>
          <w:szCs w:val="25"/>
        </w:rPr>
        <w:t xml:space="preserve">нежилого помещения  площадью 47,5 кв. м с кадастровым номером 61:44:0081902:888 по адресу: </w:t>
      </w:r>
      <w:r>
        <w:rPr>
          <w:b/>
          <w:sz w:val="25"/>
          <w:szCs w:val="25"/>
        </w:rPr>
        <w:t xml:space="preserve">Ростовская область, г. Ростов-на-Дону, </w:t>
      </w:r>
      <w:r>
        <w:rPr>
          <w:b/>
          <w:bCs/>
          <w:sz w:val="25"/>
          <w:szCs w:val="25"/>
        </w:rPr>
      </w:r>
      <w:r>
        <w:rPr>
          <w:b/>
          <w:bCs/>
          <w:sz w:val="25"/>
          <w:szCs w:val="25"/>
        </w:rPr>
      </w:r>
    </w:p>
    <w:p>
      <w:pPr>
        <w:jc w:val="center"/>
        <w:rPr>
          <w:b/>
          <w:bCs/>
          <w:i/>
          <w:sz w:val="25"/>
          <w:szCs w:val="25"/>
        </w:rPr>
      </w:pPr>
      <w:r>
        <w:rPr>
          <w:b/>
          <w:sz w:val="25"/>
          <w:szCs w:val="25"/>
        </w:rPr>
        <w:t xml:space="preserve">пер. Семашко, 113, ком.1,2,3,4,5, нежилое помещение №3</w:t>
      </w:r>
      <w:r>
        <w:rPr>
          <w:b/>
          <w:bCs/>
          <w:i/>
          <w:sz w:val="25"/>
          <w:szCs w:val="25"/>
        </w:rPr>
      </w:r>
      <w:r>
        <w:rPr>
          <w:b/>
          <w:bCs/>
          <w:i/>
          <w:sz w:val="25"/>
          <w:szCs w:val="25"/>
        </w:rPr>
      </w:r>
    </w:p>
    <w:p>
      <w:pPr>
        <w:jc w:val="center"/>
        <w:tabs>
          <w:tab w:val="left" w:pos="851" w:leader="none"/>
        </w:tabs>
        <w:rPr>
          <w:b/>
          <w:i/>
          <w:sz w:val="28"/>
        </w:rPr>
      </w:pPr>
      <w:r>
        <w:rPr>
          <w:b/>
        </w:rPr>
        <w:t xml:space="preserve"> </w:t>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tbl>
      <w:tblPr>
        <w:tblStyle w:val="1026"/>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727"/>
        <w:gridCol w:w="4204"/>
      </w:tblGrid>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910"/>
              <w:ind w:right="57"/>
              <w:spacing w:line="264" w:lineRule="auto"/>
            </w:pPr>
            <w:r>
              <w:t xml:space="preserve">Дата начала приема заявок:</w:t>
            </w:r>
            <w:r/>
          </w:p>
          <w:p>
            <w:pPr>
              <w:pStyle w:val="910"/>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910"/>
              <w:ind w:right="57"/>
              <w:spacing w:line="264" w:lineRule="auto"/>
              <w:rPr>
                <w:color w:val="000000" w:themeColor="text1"/>
                <w:sz w:val="28"/>
              </w:rPr>
            </w:pPr>
            <w:r>
              <w:rPr>
                <w:color w:val="000000" w:themeColor="text1"/>
              </w:rPr>
              <w:t xml:space="preserve">11 июня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910"/>
              <w:ind w:right="57"/>
              <w:spacing w:line="264" w:lineRule="auto"/>
            </w:pPr>
            <w:r>
              <w:t xml:space="preserve">Дата окончания приема заявок:</w:t>
            </w:r>
            <w:r/>
          </w:p>
          <w:p>
            <w:pPr>
              <w:pStyle w:val="910"/>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910"/>
              <w:ind w:right="57"/>
              <w:spacing w:line="264" w:lineRule="auto"/>
              <w:rPr>
                <w:color w:val="000000" w:themeColor="text1"/>
                <w:sz w:val="28"/>
              </w:rPr>
            </w:pPr>
            <w:r>
              <w:rPr>
                <w:color w:val="000000" w:themeColor="text1"/>
              </w:rPr>
              <w:t xml:space="preserve">16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910"/>
              <w:ind w:right="57"/>
              <w:spacing w:line="264" w:lineRule="auto"/>
            </w:pPr>
            <w:r>
              <w:t xml:space="preserve">Дата определения участников:</w:t>
            </w:r>
            <w:r/>
          </w:p>
          <w:p>
            <w:pPr>
              <w:pStyle w:val="910"/>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910"/>
              <w:ind w:right="57"/>
              <w:spacing w:line="264" w:lineRule="auto"/>
              <w:rPr>
                <w:color w:val="000000" w:themeColor="text1"/>
                <w:sz w:val="28"/>
              </w:rPr>
            </w:pPr>
            <w:r>
              <w:rPr>
                <w:color w:val="000000" w:themeColor="text1"/>
              </w:rPr>
              <w:t xml:space="preserve">20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910"/>
              <w:ind w:right="57"/>
              <w:spacing w:line="264" w:lineRule="auto"/>
            </w:pPr>
            <w:r>
              <w:t xml:space="preserve">Дата аукциона:</w:t>
            </w:r>
            <w:r/>
          </w:p>
          <w:p>
            <w:pPr>
              <w:pStyle w:val="910"/>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910"/>
              <w:ind w:right="57"/>
              <w:spacing w:line="264" w:lineRule="auto"/>
              <w:rPr>
                <w:color w:val="000000" w:themeColor="text1"/>
                <w:sz w:val="28"/>
              </w:rPr>
            </w:pPr>
            <w:r>
              <w:rPr>
                <w:color w:val="000000" w:themeColor="text1"/>
              </w:rPr>
              <w:t xml:space="preserve">22 июля 2026 г.</w:t>
            </w:r>
            <w:r>
              <w:rPr>
                <w:color w:val="000000" w:themeColor="text1"/>
                <w:sz w:val="28"/>
              </w:rPr>
            </w:r>
            <w:r>
              <w:rPr>
                <w:color w:val="000000" w:themeColor="text1"/>
                <w:sz w:val="28"/>
              </w:rPr>
            </w:r>
          </w:p>
        </w:tc>
      </w:tr>
    </w:tbl>
    <w:p>
      <w:pPr>
        <w:pStyle w:val="910"/>
        <w:ind w:right="57" w:firstLine="720"/>
        <w:spacing w:line="264" w:lineRule="auto"/>
        <w:rPr>
          <w:sz w:val="28"/>
        </w:rPr>
      </w:pPr>
      <w:r>
        <w:rPr>
          <w:sz w:val="28"/>
        </w:rPr>
      </w:r>
      <w:r>
        <w:rPr>
          <w:sz w:val="28"/>
        </w:rPr>
      </w:r>
      <w:r>
        <w:rPr>
          <w:sz w:val="28"/>
        </w:rPr>
      </w:r>
    </w:p>
    <w:p>
      <w:pPr>
        <w:rPr>
          <w:rFonts w:ascii="TimesNewRoman,Bold" w:hAnsi="TimesNewRoman,Bold"/>
          <w:b/>
          <w:sz w:val="28"/>
        </w:rPr>
      </w:pPr>
      <w:r>
        <w:rPr>
          <w:sz w:val="28"/>
        </w:rPr>
        <w:br w:type="page" w:clear="all"/>
      </w:r>
      <w:r>
        <w:rPr>
          <w:rFonts w:ascii="TimesNewRoman,Bold" w:hAnsi="TimesNewRoman,Bold"/>
          <w:b/>
          <w:sz w:val="28"/>
        </w:rPr>
        <w:t xml:space="preserve">СОДЕРЖАНИЕ</w:t>
      </w:r>
      <w:r>
        <w:rPr>
          <w:rFonts w:ascii="TimesNewRoman,Bold" w:hAnsi="TimesNewRoman,Bold"/>
          <w:b/>
          <w:sz w:val="28"/>
        </w:rPr>
      </w:r>
      <w:r>
        <w:rPr>
          <w:rFonts w:ascii="TimesNewRoman,Bold" w:hAnsi="TimesNewRoman,Bold"/>
          <w:b/>
          <w:sz w:val="28"/>
        </w:rPr>
      </w:r>
    </w:p>
    <w:p>
      <w:pPr>
        <w:rPr>
          <w:rFonts w:ascii="TimesNewRoman" w:hAnsi="TimesNewRoman"/>
        </w:rPr>
      </w:pPr>
      <w:r>
        <w:rPr>
          <w:rFonts w:ascii="TimesNewRoman" w:hAnsi="TimesNewRoman"/>
        </w:rPr>
        <w:t xml:space="preserve">1. Основные понятия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2. Правовое регулирование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3. Сведения об аукционе </w:t>
      </w:r>
      <w:r>
        <w:rPr>
          <w:rFonts w:ascii="TimesNewRoman" w:hAnsi="TimesNewRoman"/>
        </w:rPr>
      </w:r>
      <w:r>
        <w:rPr>
          <w:rFonts w:ascii="TimesNewRoman" w:hAnsi="TimesNewRoman"/>
        </w:rPr>
      </w:r>
    </w:p>
    <w:p>
      <w:r>
        <w:rPr>
          <w:rFonts w:ascii="TimesNewRoman" w:hAnsi="TimesNewRoman"/>
        </w:rPr>
        <w:t xml:space="preserve">4. Место, сроки подачи (приема) заявок, определения участников и подведения итогов аукциона </w:t>
      </w:r>
      <w:r/>
    </w:p>
    <w:p>
      <w:pPr>
        <w:rPr>
          <w:rFonts w:ascii="TimesNewRoman" w:hAnsi="TimesNewRoman"/>
        </w:rPr>
      </w:pPr>
      <w:r>
        <w:rPr>
          <w:rFonts w:ascii="TimesNewRoman" w:hAnsi="TimesNewRoman"/>
        </w:rPr>
        <w:t xml:space="preserve">5. Сроки и порядок регистрации на электро</w:t>
      </w:r>
      <w:r>
        <w:rPr>
          <w:rFonts w:ascii="TimesNewRoman" w:hAnsi="TimesNewRoman"/>
        </w:rPr>
        <w:t xml:space="preserve">нной площадке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6. Порядок подачи (приема) и отзыва заявок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7. Перечень документов, представляемых участниками торгов и требования к их оформлению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8. Ограничения участия в </w:t>
      </w:r>
      <w:r>
        <w:rPr>
          <w:rFonts w:ascii="TimesNewRoman" w:hAnsi="TimesNewRoman"/>
        </w:rPr>
        <w:t xml:space="preserve">аукционе</w:t>
      </w:r>
      <w:r>
        <w:rPr>
          <w:rFonts w:ascii="TimesNewRoman" w:hAnsi="TimesNewRoman"/>
        </w:rPr>
        <w:t xml:space="preserve"> отдельных категорий физических и юридических лиц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9. Порядок внесения задатка и его возврата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10. Порядок ознакомления со сведениями об Имуществе, выставляемом на аукционе</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11. Порядок определения участников аукциона</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12. Порядок проведения аукциона и определения победителя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13. Срок заключения договора куп</w:t>
      </w:r>
      <w:r>
        <w:rPr>
          <w:rFonts w:ascii="TimesNewRoman" w:hAnsi="TimesNewRoman"/>
        </w:rPr>
        <w:t xml:space="preserve">ли-продажи недвижимого имущества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14. Переход права собственности на федеральное имущество</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15. Заключительные положения</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Приложение 1 (заявка) </w:t>
      </w:r>
      <w:r>
        <w:rPr>
          <w:rFonts w:ascii="TimesNewRoman" w:hAnsi="TimesNewRoman"/>
        </w:rPr>
        <w:br/>
        <w:t xml:space="preserve">Приложение 2 (договор купли-продажи) </w:t>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pStyle w:val="910"/>
        <w:ind w:right="57" w:firstLine="720"/>
        <w:spacing w:line="264" w:lineRule="auto"/>
        <w:rPr>
          <w:sz w:val="28"/>
        </w:rPr>
      </w:pPr>
      <w:r>
        <w:rPr>
          <w:sz w:val="28"/>
        </w:rPr>
      </w:r>
      <w:r>
        <w:rPr>
          <w:sz w:val="28"/>
        </w:rPr>
      </w:r>
      <w:r>
        <w:rPr>
          <w:sz w:val="28"/>
        </w:rPr>
      </w:r>
    </w:p>
    <w:p>
      <w:pPr>
        <w:pStyle w:val="910"/>
        <w:numPr>
          <w:ilvl w:val="0"/>
          <w:numId w:val="1"/>
        </w:numPr>
        <w:ind w:right="57"/>
        <w:jc w:val="center"/>
        <w:spacing w:line="264" w:lineRule="auto"/>
        <w:rPr>
          <w:b/>
        </w:rPr>
      </w:pPr>
      <w:r>
        <w:rPr>
          <w:sz w:val="28"/>
        </w:rPr>
        <w:br w:type="page" w:clear="all"/>
      </w:r>
      <w:r>
        <w:rPr>
          <w:b/>
        </w:rPr>
        <w:t xml:space="preserve">Основные понятия</w:t>
      </w:r>
      <w:r>
        <w:rPr>
          <w:b/>
        </w:rPr>
      </w:r>
      <w:r>
        <w:rPr>
          <w:b/>
        </w:rPr>
      </w:r>
    </w:p>
    <w:p>
      <w:pPr>
        <w:pStyle w:val="910"/>
        <w:ind w:right="57" w:firstLine="709"/>
      </w:pPr>
      <w:r>
        <w:rPr>
          <w:b/>
        </w:rPr>
        <w:t xml:space="preserve">Имущество (лоты) аукциона (объекты)</w:t>
      </w:r>
      <w:r>
        <w:t xml:space="preserve"> – имущество, находя</w:t>
      </w:r>
      <w:r>
        <w:t xml:space="preserve">щееся в собственности Российской Федерации, права на которое передается по договору купли-продажи (далее – имущество).</w:t>
      </w:r>
      <w:r/>
    </w:p>
    <w:p>
      <w:pPr>
        <w:pStyle w:val="910"/>
        <w:ind w:right="57" w:firstLine="709"/>
      </w:pPr>
      <w:r>
        <w:rPr>
          <w:b/>
        </w:rPr>
        <w:t xml:space="preserve">Лот </w:t>
      </w:r>
      <w:r>
        <w:t xml:space="preserve">– имущество, являющееся предметом торгов, реализуемое в ходе проведения одной процедуры продажи (электронного аукциона).</w:t>
      </w:r>
      <w:r/>
    </w:p>
    <w:p>
      <w:pPr>
        <w:pStyle w:val="910"/>
        <w:ind w:right="57" w:firstLine="709"/>
      </w:pPr>
      <w:r>
        <w:rPr>
          <w:b/>
        </w:rPr>
        <w:t xml:space="preserve">Предмет аукц</w:t>
      </w:r>
      <w:r>
        <w:rPr>
          <w:b/>
        </w:rPr>
        <w:t xml:space="preserve">иона</w:t>
      </w:r>
      <w:r>
        <w:t xml:space="preserve"> – продажа Имущества (лота) аукциона.</w:t>
      </w:r>
      <w:r/>
    </w:p>
    <w:p>
      <w:pPr>
        <w:pStyle w:val="910"/>
        <w:ind w:right="57" w:firstLine="709"/>
      </w:pPr>
      <w:r>
        <w:rPr>
          <w:b/>
        </w:rPr>
        <w:t xml:space="preserve">Цена предмета аукциона</w:t>
      </w:r>
      <w:r>
        <w:t xml:space="preserve"> – цена продажи Имущества (лота) аукциона.</w:t>
      </w:r>
      <w:r/>
    </w:p>
    <w:p>
      <w:pPr>
        <w:pStyle w:val="910"/>
        <w:ind w:right="57" w:firstLine="709"/>
      </w:pPr>
      <w:r>
        <w:rPr>
          <w:b/>
        </w:rPr>
        <w:t xml:space="preserve">Шаг аукциона</w:t>
      </w:r>
      <w:r>
        <w:t xml:space="preserve"> – величина повышения начальной цены продажи Имущества.</w:t>
      </w:r>
      <w:r/>
    </w:p>
    <w:p>
      <w:pPr>
        <w:ind w:right="57" w:firstLine="709"/>
        <w:jc w:val="both"/>
      </w:pPr>
      <w:r>
        <w:rPr>
          <w:b/>
        </w:rPr>
        <w:t xml:space="preserve">Информационное сообщение о проведен</w:t>
      </w:r>
      <w:r>
        <w:rPr>
          <w:b/>
        </w:rPr>
        <w:t xml:space="preserve">ии ау</w:t>
      </w:r>
      <w:r>
        <w:rPr>
          <w:b/>
        </w:rPr>
        <w:t xml:space="preserve">кциона</w:t>
      </w:r>
      <w:r>
        <w:t xml:space="preserve"> (далее – Информационное сообщение)</w:t>
      </w:r>
      <w:r>
        <w:t xml:space="preserve">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w:t>
      </w:r>
      <w:r>
        <w:t xml:space="preserve">енты.</w:t>
      </w:r>
      <w:r/>
    </w:p>
    <w:p>
      <w:pPr>
        <w:pStyle w:val="910"/>
        <w:ind w:right="57" w:firstLine="709"/>
      </w:pPr>
      <w:r>
        <w:rPr>
          <w:b/>
        </w:rPr>
        <w:t xml:space="preserve">Продавец</w:t>
      </w:r>
      <w:r>
        <w:t xml:space="preserve"> – Территориальное управление Федерального агентства по управлению государственным имуществом в Ростовской области (ТУ </w:t>
      </w:r>
      <w:r>
        <w:t xml:space="preserve">Росимущества</w:t>
      </w:r>
      <w:r>
        <w:t xml:space="preserve"> в Ростовской области).</w:t>
      </w:r>
      <w:r/>
    </w:p>
    <w:p>
      <w:pPr>
        <w:ind w:right="57" w:firstLine="709"/>
        <w:jc w:val="both"/>
      </w:pPr>
      <w:r>
        <w:rPr>
          <w:b/>
        </w:rPr>
        <w:t xml:space="preserve">Организатор</w:t>
      </w:r>
      <w:r>
        <w:t xml:space="preserve"> – в соответствии с постановлением Правительства Российской Федерации от 27 </w:t>
      </w:r>
      <w:r>
        <w:t xml:space="preserve">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w:t>
      </w:r>
      <w:r>
        <w:t xml:space="preserve">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r/>
    </w:p>
    <w:p>
      <w:pPr>
        <w:pStyle w:val="910"/>
        <w:ind w:right="57" w:firstLine="709"/>
      </w:pPr>
      <w:r>
        <w:rPr>
          <w:b/>
        </w:rPr>
        <w:t xml:space="preserve">Заявка </w:t>
      </w:r>
      <w:r>
        <w:t xml:space="preserve">– комплект документов, представленный претендент</w:t>
      </w:r>
      <w:r>
        <w:t xml:space="preserve">ом в срок и по форме, который установлен в Информационном </w:t>
      </w:r>
      <w:r>
        <w:t xml:space="preserve">сообщении</w:t>
      </w:r>
      <w:r>
        <w:t xml:space="preserve">. </w:t>
      </w:r>
      <w:r/>
    </w:p>
    <w:p>
      <w:pPr>
        <w:pStyle w:val="910"/>
        <w:ind w:right="57" w:firstLine="709"/>
      </w:pPr>
      <w:r>
        <w:rPr>
          <w:b/>
        </w:rPr>
        <w:t xml:space="preserve">Аукционная комиссия</w:t>
      </w:r>
      <w:r>
        <w:t xml:space="preserve"> – комиссия по проведению аукциона, формируемая Уполномоченным органом.</w:t>
      </w:r>
      <w:r/>
    </w:p>
    <w:p>
      <w:pPr>
        <w:pStyle w:val="935"/>
        <w:ind w:firstLine="709"/>
        <w:jc w:val="both"/>
      </w:pPr>
      <w:r>
        <w:rPr>
          <w:b/>
        </w:rPr>
        <w:t xml:space="preserve">Претендент </w:t>
      </w:r>
      <w:r>
        <w:t xml:space="preserve">– юридическое лицо, физическое лицо или физическое лицо в </w:t>
      </w:r>
      <w:r>
        <w:t xml:space="preserve">качестве</w:t>
      </w:r>
      <w:r>
        <w:t xml:space="preserve"> индивидуального предпринимателя, прошедший процедуру регистрации в соответствии с Регламентом ЭТП, подавший в установленном порядке заявку и документы для участия в продаже, намеревающейся принять участие в аукционе.</w:t>
      </w:r>
      <w:r/>
    </w:p>
    <w:p>
      <w:pPr>
        <w:pStyle w:val="935"/>
        <w:ind w:firstLine="709"/>
        <w:jc w:val="both"/>
      </w:pPr>
      <w:r>
        <w:rPr>
          <w:b/>
        </w:rPr>
        <w:t xml:space="preserve">Участник </w:t>
      </w:r>
      <w:r>
        <w:t xml:space="preserve">– юридическое лицо, физическо</w:t>
      </w:r>
      <w:r>
        <w:t xml:space="preserve">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r/>
    </w:p>
    <w:p>
      <w:pPr>
        <w:pStyle w:val="935"/>
        <w:ind w:firstLine="709"/>
        <w:jc w:val="both"/>
      </w:pPr>
      <w:r>
        <w:rPr>
          <w:b/>
        </w:rPr>
        <w:t xml:space="preserve">Победитель</w:t>
      </w:r>
      <w:r>
        <w:t xml:space="preserve"> – участник продажи, п</w:t>
      </w:r>
      <w:r>
        <w:t xml:space="preserve">редложивший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r/>
    </w:p>
    <w:p>
      <w:pPr>
        <w:pStyle w:val="910"/>
        <w:ind w:right="57" w:firstLine="851"/>
      </w:pPr>
      <w:r>
        <w:rPr>
          <w:b/>
        </w:rPr>
        <w:t xml:space="preserve">Открытая часть электронн</w:t>
      </w:r>
      <w:r>
        <w:rPr>
          <w:b/>
        </w:rPr>
        <w:t xml:space="preserve">ой площадки</w:t>
      </w:r>
      <w:r>
        <w:t xml:space="preserve"> – раздел электронной площадки, находящийся в открытом </w:t>
      </w:r>
      <w:r>
        <w:t xml:space="preserve">доступе</w:t>
      </w:r>
      <w:r>
        <w:t xml:space="preserve">, не требующий регистрации на электронной площадке для работы в нём.</w:t>
      </w:r>
      <w:r/>
    </w:p>
    <w:p>
      <w:pPr>
        <w:pStyle w:val="910"/>
        <w:ind w:right="57" w:firstLine="851"/>
      </w:pPr>
      <w:r>
        <w:rPr>
          <w:b/>
        </w:rPr>
        <w:t xml:space="preserve">Закрытая часть электронной площадки</w:t>
      </w:r>
      <w:r>
        <w:t xml:space="preserve"> – раздел электронной площадки, доступ к которому имеют только зарегистрированн</w:t>
      </w:r>
      <w:r>
        <w:t xml:space="preserve">ые на электронной площадке продавец и участники, позволяющий пользователям получить доступ к информации и выполнять определенные действия.</w:t>
      </w:r>
      <w:r/>
    </w:p>
    <w:p>
      <w:pPr>
        <w:pStyle w:val="910"/>
        <w:ind w:right="57" w:firstLine="851"/>
      </w:pPr>
      <w:r>
        <w:rPr>
          <w:b/>
        </w:rPr>
        <w:t xml:space="preserve">Электронная подпись</w:t>
      </w:r>
      <w:r>
        <w:t xml:space="preserve"> – информация в электронной форме, которая присоединена к другой информации в электронной форме (п</w:t>
      </w:r>
      <w:r>
        <w:t xml:space="preserve">одписываемой информации) или иным образом связана с такой информацией и которая используется для определения лица, подписывающего информацию; </w:t>
      </w:r>
      <w:r>
        <w:t xml:space="preserve">реквизит электронного документа, предназначенный для защиты данного электронного документа от подделки, полученный</w:t>
      </w:r>
      <w:r>
        <w:t xml:space="preserve">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r/>
    </w:p>
    <w:p>
      <w:pPr>
        <w:pStyle w:val="910"/>
        <w:ind w:right="57" w:firstLine="851"/>
      </w:pPr>
      <w:r>
        <w:rPr>
          <w:b/>
        </w:rPr>
        <w:t xml:space="preserve">Электронный документ</w:t>
      </w:r>
      <w: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w:t>
      </w:r>
      <w:r>
        <w:t xml:space="preserve">или обработки в информационных системах.</w:t>
      </w:r>
      <w:r/>
    </w:p>
    <w:p>
      <w:pPr>
        <w:pStyle w:val="910"/>
        <w:ind w:right="57" w:firstLine="851"/>
      </w:pPr>
      <w:r>
        <w:rPr>
          <w:b/>
        </w:rPr>
        <w:t xml:space="preserve">Электронный образ документа</w:t>
      </w:r>
      <w: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p>
    <w:p>
      <w:pPr>
        <w:pStyle w:val="910"/>
        <w:ind w:right="57" w:firstLine="851"/>
      </w:pPr>
      <w:r>
        <w:rPr>
          <w:b/>
        </w:rPr>
        <w:t xml:space="preserve">Электр</w:t>
      </w:r>
      <w:r>
        <w:rPr>
          <w:b/>
        </w:rPr>
        <w:t xml:space="preserve">онное сообщение (электронное уведомление)</w:t>
      </w:r>
      <w:r>
        <w:t xml:space="preserve"> – информация, направляемая пользователями электронной площадки друг другу в </w:t>
      </w:r>
      <w:r>
        <w:t xml:space="preserve">процессе</w:t>
      </w:r>
      <w:r>
        <w:t xml:space="preserve"> работы на электронной площадке.</w:t>
      </w:r>
      <w:r/>
    </w:p>
    <w:p>
      <w:pPr>
        <w:pStyle w:val="910"/>
        <w:ind w:right="57" w:firstLine="851"/>
      </w:pPr>
      <w:r>
        <w:rPr>
          <w:b/>
        </w:rPr>
        <w:t xml:space="preserve">Электронный журнал</w:t>
      </w:r>
      <w:r>
        <w:t xml:space="preserve"> – электронный документ, в </w:t>
      </w:r>
      <w:r>
        <w:t xml:space="preserve">котором</w:t>
      </w:r>
      <w:r>
        <w:t xml:space="preserve"> Организатором посредством программных и техн</w:t>
      </w:r>
      <w:r>
        <w:t xml:space="preserve">ических средств электронной площадки фиксируется ход проведения процедуры электронного аукциона.</w:t>
      </w:r>
      <w:r/>
    </w:p>
    <w:p>
      <w:pPr>
        <w:pStyle w:val="910"/>
        <w:ind w:right="57" w:firstLine="851"/>
      </w:pPr>
      <w:r>
        <w:rPr>
          <w:b/>
        </w:rPr>
        <w:t xml:space="preserve">«Личный кабинет»</w:t>
      </w:r>
      <w: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w:t>
      </w:r>
      <w:r>
        <w:t xml:space="preserve">тем ввода через интерфейс сайта идентифицирующих данных (имени пользователя и пароля).</w:t>
      </w:r>
      <w:r/>
    </w:p>
    <w:p>
      <w:pPr>
        <w:pStyle w:val="910"/>
        <w:ind w:right="57" w:firstLine="720"/>
        <w:spacing w:line="264" w:lineRule="auto"/>
      </w:pPr>
      <w:r>
        <w:rPr>
          <w:b/>
        </w:rPr>
        <w:t xml:space="preserve">Официальные сайты по продаже имущества</w:t>
      </w:r>
      <w:r>
        <w:t xml:space="preserve"> - официальный сайт Российской Федерации для размещения информации о проведении торгов в сети «Интернет» www.torgi.gov.ru, официаль</w:t>
      </w:r>
      <w:r>
        <w:t xml:space="preserve">ный сайт </w:t>
      </w:r>
      <w:r>
        <w:t xml:space="preserve">Росимущества</w:t>
      </w:r>
      <w:r>
        <w:t xml:space="preserve"> в сети «Интернет» </w:t>
      </w:r>
      <w:hyperlink r:id="rId11" w:tooltip="http://www.rosim.ru" w:history="1">
        <w:r>
          <w:t xml:space="preserve">www.rosim.ru</w:t>
        </w:r>
      </w:hyperlink>
      <w:r>
        <w:t xml:space="preserve">, сайт Организатора в сети «Интернет» (электронной площадки), официальный сайт Продавца в сети «Интернет».</w:t>
      </w:r>
      <w:r/>
    </w:p>
    <w:p>
      <w:pPr>
        <w:pStyle w:val="910"/>
        <w:ind w:right="57" w:firstLine="720"/>
        <w:jc w:val="center"/>
        <w:spacing w:line="264" w:lineRule="auto"/>
        <w:rPr>
          <w:b/>
        </w:rPr>
      </w:pPr>
      <w:r>
        <w:rPr>
          <w:b/>
        </w:rPr>
      </w:r>
      <w:r>
        <w:rPr>
          <w:b/>
        </w:rPr>
      </w:r>
      <w:r>
        <w:rPr>
          <w:b/>
        </w:rPr>
      </w:r>
    </w:p>
    <w:p>
      <w:pPr>
        <w:pStyle w:val="910"/>
        <w:ind w:right="57" w:firstLine="720"/>
        <w:jc w:val="center"/>
        <w:spacing w:line="264" w:lineRule="auto"/>
        <w:rPr>
          <w:b/>
        </w:rPr>
      </w:pPr>
      <w:r>
        <w:rPr>
          <w:b/>
        </w:rPr>
        <w:t xml:space="preserve">2. Правовое регулирование</w:t>
      </w:r>
      <w:r>
        <w:rPr>
          <w:b/>
        </w:rPr>
      </w:r>
      <w:r>
        <w:rPr>
          <w:b/>
        </w:rPr>
      </w:r>
    </w:p>
    <w:p>
      <w:pPr>
        <w:ind w:right="57" w:firstLine="709"/>
        <w:jc w:val="both"/>
      </w:pPr>
      <w:r>
        <w:t xml:space="preserve">Аукцион проводится в соответствии </w:t>
      </w:r>
      <w:r>
        <w:t xml:space="preserve">с</w:t>
      </w:r>
      <w:r>
        <w:t xml:space="preserve">:</w:t>
      </w:r>
      <w:r/>
    </w:p>
    <w:p>
      <w:pPr>
        <w:ind w:right="57" w:firstLine="709"/>
        <w:jc w:val="both"/>
      </w:pPr>
      <w:r>
        <w:t xml:space="preserve">- Гражданским кодексом Российской Федерации;</w:t>
      </w:r>
      <w:r/>
    </w:p>
    <w:p>
      <w:pPr>
        <w:ind w:right="57" w:firstLine="709"/>
        <w:jc w:val="both"/>
      </w:pPr>
      <w:r>
        <w:t xml:space="preserve">- Федеральным законом от 21 декабря 2001 г. № 178-ФЗ «О приватизации государственного и муниципального имущества»;</w:t>
      </w:r>
      <w:r/>
    </w:p>
    <w:p>
      <w:pPr>
        <w:ind w:right="57" w:firstLine="709"/>
        <w:jc w:val="both"/>
      </w:pPr>
      <w:r>
        <w:t xml:space="preserve">- постановлением Правительства Российской Федерации от 27 а</w:t>
      </w:r>
      <w:r>
        <w:t xml:space="preserve">вгуста 2012 г. № 860 «Об организации и проведении продажи государственного или муниципального имущества в электронной форме»;</w:t>
      </w:r>
      <w:r/>
    </w:p>
    <w:p>
      <w:pPr>
        <w:pStyle w:val="910"/>
        <w:ind w:right="57" w:firstLine="709"/>
      </w:pPr>
      <w:r>
        <w:t xml:space="preserve">- распоряжением ТУ </w:t>
      </w:r>
      <w:r>
        <w:t xml:space="preserve">Росимущества</w:t>
      </w:r>
      <w:r>
        <w:t xml:space="preserve"> в Ростовской области об условиях приватизации;</w:t>
      </w:r>
      <w:r/>
    </w:p>
    <w:p>
      <w:pPr>
        <w:ind w:right="57" w:firstLine="709"/>
        <w:jc w:val="both"/>
      </w:pPr>
      <w:r>
        <w:t xml:space="preserve">- иными нормативными правовыми актами Российской Фе</w:t>
      </w:r>
      <w:r>
        <w:t xml:space="preserve">дерации.</w:t>
      </w:r>
      <w:r/>
    </w:p>
    <w:p>
      <w:pPr>
        <w:pStyle w:val="910"/>
        <w:ind w:right="57" w:firstLine="720"/>
        <w:spacing w:line="264" w:lineRule="auto"/>
        <w:rPr>
          <w:sz w:val="28"/>
        </w:rPr>
      </w:pPr>
      <w:r>
        <w:rPr>
          <w:sz w:val="28"/>
        </w:rPr>
        <w:br w:type="page" w:clear="all"/>
      </w:r>
      <w:r>
        <w:rPr>
          <w:sz w:val="28"/>
        </w:rPr>
      </w:r>
      <w:r>
        <w:rPr>
          <w:sz w:val="28"/>
        </w:rPr>
      </w:r>
    </w:p>
    <w:p>
      <w:pPr>
        <w:pStyle w:val="910"/>
        <w:numPr>
          <w:ilvl w:val="0"/>
          <w:numId w:val="2"/>
        </w:numPr>
        <w:ind w:right="57"/>
        <w:jc w:val="center"/>
        <w:spacing w:line="264" w:lineRule="auto"/>
        <w:rPr>
          <w:b/>
        </w:rPr>
      </w:pPr>
      <w:r>
        <w:rPr>
          <w:b/>
        </w:rPr>
        <w:t xml:space="preserve">Сведения об аукционе</w:t>
      </w:r>
      <w:r>
        <w:rPr>
          <w:b/>
        </w:rPr>
      </w:r>
      <w:r>
        <w:rPr>
          <w:b/>
        </w:rPr>
      </w:r>
    </w:p>
    <w:p>
      <w:pPr>
        <w:jc w:val="both"/>
        <w:tabs>
          <w:tab w:val="left" w:pos="851" w:leader="none"/>
        </w:tabs>
        <w:rPr>
          <w14:ligatures w14:val="none"/>
        </w:rPr>
      </w:pPr>
      <w:r>
        <w:rPr>
          <w:b/>
        </w:rPr>
        <w:tab/>
        <w:t xml:space="preserve">3.1.</w:t>
      </w:r>
      <w:r>
        <w:t xml:space="preserve"> </w:t>
      </w:r>
      <w:r>
        <w:t xml:space="preserve">Основание проведения торгов – распоряжение ТУ </w:t>
      </w:r>
      <w:r>
        <w:t xml:space="preserve">Росимущества</w:t>
      </w:r>
      <w:r>
        <w:t xml:space="preserve"> в Ростовской области от </w:t>
      </w:r>
      <w:r>
        <w:rPr>
          <w:color w:val="000000" w:themeColor="text1"/>
        </w:rPr>
        <w:t xml:space="preserve">«10</w:t>
      </w:r>
      <w:r>
        <w:rPr>
          <w:color w:val="000000" w:themeColor="text1"/>
        </w:rPr>
        <w:t xml:space="preserve">» июня 2026 г. № 321-р</w:t>
      </w:r>
      <w:r>
        <w:rPr>
          <w:color w:val="000000" w:themeColor="text1"/>
        </w:rPr>
        <w:t xml:space="preserve"> </w:t>
      </w:r>
      <w:r>
        <w:t xml:space="preserve">«О</w:t>
      </w:r>
      <w:r>
        <w:t xml:space="preserve">б условиях пр</w:t>
      </w:r>
      <w:r>
        <w:t xml:space="preserve">иватизации нежилого помещения общей площадью 47,5 кв. м с к.н. </w:t>
      </w:r>
      <w:r>
        <w:t xml:space="preserve">61:44:0081902:888</w:t>
      </w:r>
      <w:r>
        <w:t xml:space="preserve"> </w:t>
      </w:r>
      <w:r>
        <w:t xml:space="preserve">по адресу:</w:t>
      </w:r>
      <w:r>
        <w:t xml:space="preserve"> </w:t>
      </w:r>
      <w:r>
        <w:t xml:space="preserve">Ростовская область, г. Ростов-на-Дону, пер. Семашко, 113, ком.1,2,3,4,5, нежилое помещение № 3</w:t>
      </w:r>
      <w:r>
        <w:t xml:space="preserve">».</w:t>
      </w:r>
      <w:r>
        <w:rPr>
          <w14:ligatures w14:val="none"/>
        </w:rPr>
      </w:r>
      <w:r>
        <w:rPr>
          <w14:ligatures w14:val="none"/>
        </w:rPr>
      </w:r>
    </w:p>
    <w:p>
      <w:pPr>
        <w:pStyle w:val="910"/>
        <w:ind w:firstLine="709"/>
        <w:tabs>
          <w:tab w:val="left" w:pos="0" w:leader="none"/>
        </w:tabs>
      </w:pPr>
      <w:r>
        <w:rPr>
          <w:b/>
        </w:rPr>
        <w:t xml:space="preserve">3.2. Собственник выставляемого на торги имущества -</w:t>
      </w:r>
      <w:r>
        <w:t xml:space="preserve"> Российская Федерация.</w:t>
      </w:r>
      <w:r/>
    </w:p>
    <w:p>
      <w:pPr>
        <w:ind w:firstLine="709"/>
        <w:jc w:val="both"/>
        <w:tabs>
          <w:tab w:val="left" w:pos="0" w:leader="none"/>
        </w:tabs>
        <w:rPr>
          <w:b/>
        </w:rPr>
      </w:pPr>
      <w:r>
        <w:rPr>
          <w:b/>
        </w:rPr>
        <w:t xml:space="preserve">3.3. Оператор электронной площадки:</w:t>
      </w:r>
      <w:r>
        <w:rPr>
          <w:b/>
        </w:rPr>
      </w:r>
      <w:r>
        <w:rPr>
          <w:b/>
        </w:rPr>
      </w:r>
    </w:p>
    <w:p>
      <w:pPr>
        <w:pStyle w:val="976"/>
        <w:ind w:left="0" w:right="57" w:firstLine="709"/>
        <w:tabs>
          <w:tab w:val="left" w:pos="0" w:leader="none"/>
          <w:tab w:val="clear" w:pos="284" w:leader="none"/>
        </w:tabs>
      </w:pPr>
      <w:r>
        <w:t xml:space="preserve">Наименование – Акционерное общество «Сбербанк-Автоматизированная система торгов» (АО</w:t>
      </w:r>
      <w:r>
        <w:t xml:space="preserve"> «Сбербанк АСТ»).</w:t>
      </w:r>
      <w:r/>
    </w:p>
    <w:p>
      <w:pPr>
        <w:pStyle w:val="976"/>
        <w:ind w:left="0" w:right="57" w:firstLine="709"/>
        <w:tabs>
          <w:tab w:val="left" w:pos="0" w:leader="none"/>
          <w:tab w:val="clear" w:pos="284" w:leader="none"/>
        </w:tabs>
      </w:pPr>
      <w:r>
        <w:t xml:space="preserve">Адрес - 119435, г. Москва, Большой Саввинский пер., д. 12, строение 9.</w:t>
      </w:r>
      <w:r/>
    </w:p>
    <w:p>
      <w:pPr>
        <w:pStyle w:val="976"/>
        <w:ind w:left="0" w:right="57" w:firstLine="709"/>
        <w:tabs>
          <w:tab w:val="left" w:pos="0" w:leader="none"/>
          <w:tab w:val="clear" w:pos="284" w:leader="none"/>
        </w:tabs>
      </w:pPr>
      <w:r>
        <w:t xml:space="preserve">Сайт – </w:t>
      </w:r>
      <w:r>
        <w:rPr>
          <w:rStyle w:val="961"/>
          <w:color w:val="000000"/>
        </w:rPr>
        <w:t xml:space="preserve">http://utp.sberbank-ast.ru/</w:t>
      </w:r>
      <w:r/>
    </w:p>
    <w:p>
      <w:pPr>
        <w:ind w:firstLine="709"/>
        <w:jc w:val="both"/>
        <w:rPr>
          <w:b/>
        </w:rPr>
      </w:pPr>
      <w:r>
        <w:rPr>
          <w:b/>
        </w:rPr>
        <w:t xml:space="preserve">3.4. Продавец:</w:t>
      </w:r>
      <w:r>
        <w:rPr>
          <w:b/>
        </w:rPr>
      </w:r>
      <w:r>
        <w:rPr>
          <w:b/>
        </w:rPr>
      </w:r>
    </w:p>
    <w:p>
      <w:pPr>
        <w:pStyle w:val="976"/>
        <w:ind w:left="0" w:right="57" w:firstLine="709"/>
        <w:tabs>
          <w:tab w:val="left" w:pos="0" w:leader="none"/>
          <w:tab w:val="clear" w:pos="284" w:leader="none"/>
        </w:tabs>
      </w:pPr>
      <w:r>
        <w:rPr>
          <w:b/>
        </w:rPr>
        <w:t xml:space="preserve">Наименование</w:t>
      </w:r>
      <w:r>
        <w:t xml:space="preserve"> - Территориальное управление Федерального агентства по управлению государственным имуществом в Ростовско</w:t>
      </w:r>
      <w:r>
        <w:t xml:space="preserve">й области.</w:t>
      </w:r>
      <w:r/>
    </w:p>
    <w:p>
      <w:pPr>
        <w:pStyle w:val="976"/>
        <w:ind w:left="0" w:right="57" w:firstLine="709"/>
        <w:tabs>
          <w:tab w:val="left" w:pos="0" w:leader="none"/>
          <w:tab w:val="clear" w:pos="284" w:leader="none"/>
        </w:tabs>
      </w:pPr>
      <w:r>
        <w:t xml:space="preserve">Адрес – 344050, Ростовская область, г. Ростов-на-Дону, ул. Социалистическая, д. 112 (для почтовой корреспонденции), 344002, Ростовская область, г. Ростов-на-Дону, ул. Большая Садовая, 68/40/55 (место нахождения Продавца)</w:t>
      </w:r>
      <w:r/>
    </w:p>
    <w:p>
      <w:pPr>
        <w:pStyle w:val="976"/>
        <w:ind w:left="0" w:right="57" w:firstLine="709"/>
        <w:tabs>
          <w:tab w:val="left" w:pos="0" w:leader="none"/>
          <w:tab w:val="clear" w:pos="284" w:leader="none"/>
        </w:tabs>
      </w:pPr>
      <w:r>
        <w:t xml:space="preserve">Сайт – http://tu61.rosim</w:t>
      </w:r>
      <w:r>
        <w:t xml:space="preserve">.gov.ru/</w:t>
      </w:r>
      <w:r/>
    </w:p>
    <w:p>
      <w:pPr>
        <w:pStyle w:val="976"/>
        <w:ind w:left="0" w:right="57" w:firstLine="709"/>
        <w:tabs>
          <w:tab w:val="left" w:pos="0" w:leader="none"/>
          <w:tab w:val="clear" w:pos="284" w:leader="none"/>
        </w:tabs>
      </w:pPr>
      <w:r>
        <w:t xml:space="preserve">Телефон – 8(863) 244-14-88 </w:t>
      </w:r>
      <w:r>
        <w:t xml:space="preserve">Казалова</w:t>
      </w:r>
      <w:r>
        <w:t xml:space="preserve"> Наталья Владимировна, Алисова Юлия Сергеевна.</w:t>
      </w:r>
      <w:r/>
    </w:p>
    <w:p>
      <w:pPr>
        <w:pStyle w:val="976"/>
        <w:ind w:left="0" w:firstLine="709"/>
        <w:tabs>
          <w:tab w:val="left" w:pos="0" w:leader="none"/>
          <w:tab w:val="clear" w:pos="284" w:leader="none"/>
        </w:tabs>
      </w:pPr>
      <w:r>
        <w:rPr>
          <w:b/>
        </w:rPr>
        <w:t xml:space="preserve">3.5. Форма аукциона (способ приватизации) –</w:t>
      </w:r>
      <w:r>
        <w:t xml:space="preserve"> аукцион в электронной форме, открытый по составу участников и по форме подачи предложений о цене имущества.</w:t>
      </w:r>
      <w:r/>
    </w:p>
    <w:p>
      <w:pPr>
        <w:pStyle w:val="976"/>
        <w:ind w:left="0" w:firstLine="709"/>
        <w:tabs>
          <w:tab w:val="left" w:pos="0" w:leader="none"/>
          <w:tab w:val="clear" w:pos="284" w:leader="none"/>
        </w:tabs>
        <w:rPr>
          <w:b/>
        </w:rPr>
      </w:pPr>
      <w:r>
        <w:rPr>
          <w:b/>
        </w:rPr>
        <w:t xml:space="preserve">3.6. Сведения</w:t>
      </w:r>
      <w:r>
        <w:rPr>
          <w:b/>
        </w:rPr>
        <w:t xml:space="preserve"> об Имуществе (лоте), выставляемом на аукционе в электронной форме: </w:t>
      </w:r>
      <w:r>
        <w:rPr>
          <w:b/>
        </w:rPr>
      </w:r>
      <w:r>
        <w:rPr>
          <w:b/>
        </w:rPr>
      </w:r>
    </w:p>
    <w:p>
      <w:pPr>
        <w:pStyle w:val="976"/>
        <w:ind w:left="0" w:firstLine="709"/>
        <w:spacing w:after="240"/>
        <w:tabs>
          <w:tab w:val="clear" w:pos="284" w:leader="none"/>
        </w:tabs>
        <w:rPr>
          <w:b/>
        </w:rPr>
      </w:pPr>
      <w:r>
        <w:rPr>
          <w:b/>
        </w:rPr>
        <w:t xml:space="preserve">3.6.1. Наименование выставляемого на продажу Имущества (лота):</w:t>
      </w:r>
      <w:r>
        <w:rPr>
          <w:b/>
        </w:rPr>
      </w:r>
      <w:r>
        <w:rPr>
          <w:b/>
        </w:rPr>
      </w:r>
    </w:p>
    <w:p>
      <w:pPr>
        <w:jc w:val="both"/>
        <w:rPr>
          <w14:ligatures w14:val="none"/>
        </w:rPr>
      </w:pPr>
      <w:r>
        <w:rPr>
          <w:b/>
        </w:rPr>
        <w:tab/>
        <w:t xml:space="preserve">Н</w:t>
      </w:r>
      <w:r>
        <w:rPr>
          <w:b/>
          <w:bCs/>
        </w:rPr>
        <w:t xml:space="preserve">ежилое помещение</w:t>
      </w:r>
      <w:r>
        <w:t xml:space="preserve"> общей площадью 47,5 кв. м с к.н. </w:t>
      </w:r>
      <w:r>
        <w:t xml:space="preserve">61:44:0081902:888</w:t>
      </w:r>
      <w:r>
        <w:rPr>
          <w:szCs w:val="24"/>
        </w:rPr>
        <w:t xml:space="preserve">, реестровый номер федерального имущества </w:t>
      </w:r>
      <w:r>
        <w:t xml:space="preserve">П13610063706</w:t>
      </w:r>
      <w:r>
        <w:t xml:space="preserve"> </w:t>
      </w:r>
      <w:r>
        <w:rPr>
          <w:szCs w:val="24"/>
        </w:rPr>
        <w:t xml:space="preserve">по адресу: </w:t>
      </w:r>
      <w:r>
        <w:t xml:space="preserve">Ростовская область, г. Ростов-на-Дону, пер. Семашко, 113, ком.1,2,3,4,5, нежилое помещение № 3</w:t>
      </w:r>
      <w:r>
        <w:t xml:space="preserve">.</w:t>
      </w:r>
      <w:r>
        <w:rPr>
          <w14:ligatures w14:val="none"/>
        </w:rPr>
      </w:r>
      <w:r>
        <w:rPr>
          <w14:ligatures w14:val="none"/>
        </w:rPr>
      </w:r>
    </w:p>
    <w:p>
      <w:pPr>
        <w:ind w:firstLine="709"/>
        <w:jc w:val="both"/>
        <w:spacing w:before="120" w:after="40"/>
        <w:tabs>
          <w:tab w:val="left" w:pos="2481" w:leader="none"/>
        </w:tabs>
        <w:rPr>
          <w:b/>
          <w:szCs w:val="24"/>
        </w:rPr>
      </w:pPr>
      <w:r>
        <w:rPr>
          <w:b/>
          <w:szCs w:val="24"/>
        </w:rPr>
        <w:t xml:space="preserve">Характеристика объекта недвижимого имущества</w:t>
      </w:r>
      <w:r>
        <w:rPr>
          <w:b/>
          <w:szCs w:val="24"/>
        </w:rPr>
      </w:r>
      <w:r>
        <w:rPr>
          <w:b/>
          <w:szCs w:val="24"/>
        </w:rPr>
      </w:r>
    </w:p>
    <w:tbl>
      <w:tblPr>
        <w:tblStyle w:val="1027"/>
        <w:tblW w:w="0" w:type="auto"/>
        <w:tblLayout w:type="fixed"/>
        <w:tblLook w:val="04A0" w:firstRow="1" w:lastRow="0" w:firstColumn="1" w:lastColumn="0" w:noHBand="0" w:noVBand="1"/>
      </w:tblPr>
      <w:tblGrid>
        <w:gridCol w:w="3539"/>
        <w:gridCol w:w="5958"/>
      </w:tblGrid>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Наименование: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textDirection w:val="lrTb"/>
            <w:noWrap w:val="false"/>
          </w:tcPr>
          <w:p>
            <w:pPr>
              <w:rPr>
                <w:rFonts w:eastAsia="TimesNewRomanPSMT"/>
                <w:szCs w:val="24"/>
              </w:rPr>
            </w:pPr>
            <w:r>
              <w:rPr>
                <w:rFonts w:eastAsia="TimesNewRomanPSMT"/>
                <w:szCs w:val="24"/>
              </w:rPr>
            </w:r>
            <w:r>
              <w:rPr>
                <w:rFonts w:eastAsia="TimesNewRomanPSMT"/>
                <w:szCs w:val="24"/>
              </w:rPr>
              <w:t xml:space="preserve">Нежилое помещение</w:t>
            </w:r>
            <w:r>
              <w:rPr>
                <w:rFonts w:eastAsia="TimesNewRomanPSMT"/>
                <w:szCs w:val="24"/>
              </w:rPr>
            </w:r>
            <w:r>
              <w:rPr>
                <w:rFonts w:eastAsia="TimesNewRomanPSMT"/>
                <w:szCs w:val="24"/>
              </w:rPr>
            </w:r>
          </w:p>
        </w:tc>
      </w:tr>
      <w:tr>
        <w:tblPrEx/>
        <w:trPr>
          <w:trHeight w:val="902"/>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Местоположение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rPr>
                <w:szCs w:val="24"/>
              </w:rPr>
            </w:r>
            <w:r>
              <w:t xml:space="preserve">Ростовская область, г. Ростов-на-Дону, пер. Семашко, 113, ком.1,2,3,4,5, нежилое помещение № 3</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Номер РФИ:</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П13610063706</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Кадастровый номер:</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61:44:0081902:888</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Площадь объекта (кв. м):</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47,5</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Назначение: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нежилое </w:t>
            </w:r>
            <w:r/>
          </w:p>
        </w:tc>
      </w:tr>
      <w:tr>
        <w:tblPrEx/>
        <w:trPr>
          <w:trHeight w:val="153"/>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собственность РФ</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Обременения (ограничения):</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указаны</w:t>
            </w:r>
            <w:r>
              <w:t xml:space="preserve"> в выписках из ЕГРН и РФИ от 08.06.2026</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ОКН:</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ОКН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МЧС:</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объект ГО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Правоустанавливающие документы:</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pPr>
              <w:tabs>
                <w:tab w:val="left" w:pos="2520" w:leader="none"/>
              </w:tabs>
            </w:pPr>
            <w:r>
              <w:t xml:space="preserve">государственная регистрация права собственности РФ от 14.01.2026  № </w:t>
            </w:r>
            <w:r>
              <w:t xml:space="preserve">61:44:0081902:888-61/214/2026-7</w:t>
            </w:r>
            <w:r/>
          </w:p>
          <w:p>
            <w:pPr>
              <w:tabs>
                <w:tab w:val="left" w:pos="2520" w:leader="none"/>
              </w:tabs>
            </w:pPr>
            <w:r>
              <w:t xml:space="preserve">выписка из ЕГРН от 08.06.2026 № </w:t>
            </w:r>
            <w:r>
              <w:t xml:space="preserve">КУВИ-</w:t>
            </w:r>
            <w:r>
              <w:t xml:space="preserve">001/2026-77524484</w:t>
            </w:r>
            <w:r>
              <w:t xml:space="preserve">;</w:t>
            </w:r>
            <w:r/>
          </w:p>
          <w:p>
            <w:r>
              <w:t xml:space="preserve">выписка из РФИ от 08.06.2026 № </w:t>
            </w:r>
            <w:r>
              <w:t xml:space="preserve">335870/1</w:t>
            </w:r>
            <w:r>
              <w:t xml:space="preserve">.</w:t>
            </w:r>
            <w:r/>
          </w:p>
        </w:tc>
      </w:tr>
    </w:tbl>
    <w:p>
      <w:pPr>
        <w:pStyle w:val="976"/>
        <w:ind w:left="0" w:firstLine="709"/>
        <w:tabs>
          <w:tab w:val="clear" w:pos="284" w:leader="none"/>
        </w:tabs>
        <w:rPr>
          <w:szCs w:val="22"/>
        </w:rPr>
      </w:pPr>
      <w:r>
        <w:rPr>
          <w:szCs w:val="22"/>
        </w:rPr>
      </w:r>
      <w:r>
        <w:rPr>
          <w:szCs w:val="22"/>
        </w:rPr>
      </w:r>
      <w:r>
        <w:rPr>
          <w:szCs w:val="22"/>
        </w:rPr>
      </w:r>
    </w:p>
    <w:p>
      <w:pPr>
        <w:ind w:firstLine="709"/>
        <w:jc w:val="both"/>
        <w:tabs>
          <w:tab w:val="left" w:pos="1276" w:leader="none"/>
        </w:tabs>
        <w:rPr>
          <w:sz w:val="24"/>
          <w:szCs w:val="24"/>
        </w:rPr>
      </w:pPr>
      <w:r>
        <w:rPr>
          <w:b/>
        </w:rPr>
        <w:t xml:space="preserve">3.7. </w:t>
      </w:r>
      <w:r>
        <w:rPr>
          <w:b/>
          <w:szCs w:val="24"/>
        </w:rPr>
        <w:t xml:space="preserve">Началь</w:t>
      </w:r>
      <w:r>
        <w:rPr>
          <w:b/>
          <w:sz w:val="24"/>
          <w:szCs w:val="24"/>
        </w:rPr>
        <w:t xml:space="preserve">ная</w:t>
      </w:r>
      <w:r>
        <w:rPr>
          <w:b/>
          <w:sz w:val="24"/>
          <w:szCs w:val="24"/>
        </w:rPr>
        <w:t xml:space="preserve"> цен</w:t>
      </w:r>
      <w:r>
        <w:rPr>
          <w:b/>
          <w:sz w:val="24"/>
          <w:szCs w:val="24"/>
        </w:rPr>
        <w:t xml:space="preserve">а (лота) - </w:t>
      </w:r>
      <w:r>
        <w:rPr>
          <w:b/>
          <w:bCs/>
          <w:sz w:val="24"/>
          <w:szCs w:val="24"/>
        </w:rPr>
        <w:t xml:space="preserve">6 607 000</w:t>
      </w:r>
      <w:r>
        <w:rPr>
          <w:b/>
          <w:bCs/>
          <w:color w:val="000000" w:themeColor="text1"/>
          <w:sz w:val="24"/>
          <w:szCs w:val="24"/>
        </w:rPr>
        <w:t xml:space="preserve">,00</w:t>
      </w:r>
      <w:r>
        <w:rPr>
          <w:sz w:val="24"/>
          <w:szCs w:val="24"/>
        </w:rPr>
        <w:t xml:space="preserve"> (шесть миллионов шестьсот семь тысяч</w:t>
      </w:r>
      <w:r>
        <w:rPr>
          <w:sz w:val="24"/>
          <w:szCs w:val="24"/>
        </w:rPr>
        <w:t xml:space="preserve">) руб. 00 коп</w:t>
      </w:r>
      <w:r>
        <w:rPr>
          <w:sz w:val="24"/>
          <w:szCs w:val="24"/>
        </w:rPr>
        <w:t xml:space="preserve">. с учетом НДС</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3.8. Шаг аукциона (величина повышения цены) – </w:t>
      </w:r>
      <w:r>
        <w:rPr>
          <w:sz w:val="24"/>
          <w:szCs w:val="24"/>
        </w:rPr>
        <w:t xml:space="preserve"> </w:t>
      </w:r>
      <w:r>
        <w:rPr>
          <w:b/>
          <w:bCs/>
          <w:sz w:val="24"/>
          <w:szCs w:val="24"/>
        </w:rPr>
        <w:t xml:space="preserve">330 350,00</w:t>
      </w:r>
      <w:r>
        <w:rPr>
          <w:b/>
          <w:bCs/>
          <w:sz w:val="24"/>
          <w:szCs w:val="24"/>
        </w:rPr>
        <w:t xml:space="preserve"> </w:t>
      </w:r>
      <w:r>
        <w:rPr>
          <w:sz w:val="24"/>
          <w:szCs w:val="24"/>
        </w:rPr>
        <w:t xml:space="preserve">(триста тридцать тысяч триста пятьдесят</w:t>
      </w:r>
      <w:r>
        <w:rPr>
          <w:sz w:val="24"/>
          <w:szCs w:val="24"/>
        </w:rPr>
        <w:t xml:space="preserve">) руб. </w:t>
      </w:r>
      <w:r>
        <w:rPr>
          <w:sz w:val="24"/>
          <w:szCs w:val="24"/>
        </w:rPr>
        <w:t xml:space="preserve">00</w:t>
      </w:r>
      <w:r>
        <w:rPr>
          <w:sz w:val="24"/>
          <w:szCs w:val="24"/>
        </w:rPr>
        <w:t xml:space="preserve"> коп</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3.9. Размер задатка – </w:t>
      </w:r>
      <w:r>
        <w:rPr>
          <w:b/>
          <w:bCs/>
          <w:sz w:val="24"/>
          <w:szCs w:val="24"/>
        </w:rPr>
        <w:t xml:space="preserve">660 700</w:t>
      </w:r>
      <w:r>
        <w:rPr>
          <w:b/>
          <w:bCs/>
          <w:sz w:val="24"/>
          <w:szCs w:val="24"/>
        </w:rPr>
        <w:t xml:space="preserve">,</w:t>
      </w:r>
      <w:r>
        <w:rPr>
          <w:b/>
          <w:bCs/>
          <w:sz w:val="24"/>
          <w:szCs w:val="24"/>
        </w:rPr>
        <w:t xml:space="preserve">0</w:t>
      </w:r>
      <w:r>
        <w:rPr>
          <w:b/>
          <w:sz w:val="24"/>
          <w:szCs w:val="24"/>
        </w:rPr>
        <w:t xml:space="preserve">0</w:t>
      </w:r>
      <w:r>
        <w:rPr>
          <w:sz w:val="24"/>
          <w:szCs w:val="24"/>
        </w:rPr>
        <w:t xml:space="preserve"> (шестьсот шестьдесят тысяч семьсот</w:t>
      </w:r>
      <w:r>
        <w:rPr>
          <w:sz w:val="24"/>
          <w:szCs w:val="24"/>
        </w:rPr>
        <w:t xml:space="preserve">) руб. </w:t>
      </w:r>
      <w:r>
        <w:rPr>
          <w:sz w:val="24"/>
          <w:szCs w:val="24"/>
        </w:rPr>
        <w:t xml:space="preserve">0</w:t>
      </w:r>
      <w:r>
        <w:rPr>
          <w:sz w:val="24"/>
          <w:szCs w:val="24"/>
        </w:rPr>
        <w:t xml:space="preserve">0 коп</w:t>
      </w:r>
      <w:r>
        <w:rPr>
          <w:sz w:val="24"/>
          <w:szCs w:val="24"/>
        </w:rPr>
        <w:t xml:space="preserve">.</w:t>
      </w:r>
      <w:r>
        <w:rPr>
          <w:sz w:val="24"/>
          <w:szCs w:val="24"/>
        </w:rPr>
      </w:r>
      <w:r>
        <w:rPr>
          <w:sz w:val="24"/>
          <w:szCs w:val="24"/>
        </w:rPr>
      </w:r>
    </w:p>
    <w:p>
      <w:pPr>
        <w:ind w:firstLine="709"/>
        <w:jc w:val="both"/>
        <w:tabs>
          <w:tab w:val="left" w:pos="709" w:leader="none"/>
        </w:tabs>
        <w:rPr>
          <w:b/>
          <w:color w:val="000000" w:themeColor="text1"/>
          <w:szCs w:val="24"/>
        </w:rPr>
      </w:pPr>
      <w:r>
        <w:rPr>
          <w:b/>
          <w:szCs w:val="24"/>
        </w:rPr>
        <w:t xml:space="preserve">3.10. Срок внесения </w:t>
      </w:r>
      <w:r>
        <w:rPr>
          <w:b/>
          <w:color w:val="auto"/>
          <w:szCs w:val="24"/>
        </w:rPr>
        <w:t xml:space="preserve">задатка – </w:t>
      </w:r>
      <w:r>
        <w:rPr>
          <w:color w:val="auto"/>
          <w:szCs w:val="24"/>
        </w:rPr>
        <w:t xml:space="preserve">с </w:t>
      </w:r>
      <w:r>
        <w:rPr>
          <w:color w:val="000000" w:themeColor="text1"/>
          <w:szCs w:val="24"/>
        </w:rPr>
        <w:t xml:space="preserve">11</w:t>
      </w:r>
      <w:r>
        <w:rPr>
          <w:color w:val="000000" w:themeColor="text1"/>
          <w:szCs w:val="24"/>
        </w:rPr>
        <w:t xml:space="preserve"> июня 2026 г. по 16 июля 2026 г.</w:t>
      </w:r>
      <w:r>
        <w:rPr>
          <w:color w:val="000000" w:themeColor="text1"/>
          <w:szCs w:val="24"/>
        </w:rPr>
        <w:t xml:space="preserve"> и должен поступить на указанный в информационном </w:t>
      </w:r>
      <w:r>
        <w:rPr>
          <w:color w:val="000000" w:themeColor="text1"/>
          <w:szCs w:val="24"/>
        </w:rPr>
        <w:t xml:space="preserve">сообщении</w:t>
      </w:r>
      <w:r>
        <w:rPr>
          <w:color w:val="000000" w:themeColor="text1"/>
          <w:szCs w:val="24"/>
        </w:rPr>
        <w:t xml:space="preserve"> счет продавца не позднее 16</w:t>
      </w:r>
      <w:r>
        <w:rPr>
          <w:color w:val="000000" w:themeColor="text1"/>
          <w:szCs w:val="24"/>
        </w:rPr>
        <w:t xml:space="preserve"> июля 2026 г.</w:t>
      </w:r>
      <w:r>
        <w:rPr>
          <w:b/>
          <w:color w:val="000000" w:themeColor="text1"/>
          <w:szCs w:val="24"/>
        </w:rPr>
      </w:r>
      <w:r>
        <w:rPr>
          <w:b/>
          <w:color w:val="000000" w:themeColor="text1"/>
          <w:szCs w:val="24"/>
        </w:rPr>
      </w:r>
    </w:p>
    <w:p>
      <w:pPr>
        <w:pStyle w:val="976"/>
        <w:ind w:left="0" w:firstLine="709"/>
      </w:pPr>
      <w:r>
        <w:rPr>
          <w:b/>
          <w:szCs w:val="24"/>
        </w:rPr>
        <w:t xml:space="preserve">3.11. Св</w:t>
      </w:r>
      <w:r>
        <w:rPr>
          <w:b/>
          <w:szCs w:val="24"/>
        </w:rPr>
        <w:t xml:space="preserve">едения о предыдущих торгах по продаже</w:t>
      </w:r>
      <w:r>
        <w:rPr>
          <w:b/>
        </w:rPr>
        <w:t xml:space="preserve"> имущества, объявленных в течение года, предшествующего его продаже – </w:t>
      </w:r>
      <w:r>
        <w:t xml:space="preserve">ТУ </w:t>
      </w:r>
      <w:r>
        <w:t xml:space="preserve">Росимущества</w:t>
      </w:r>
      <w:r>
        <w:t xml:space="preserve"> в Ростовской области  ранее торги не проводились.</w:t>
      </w:r>
      <w:r/>
    </w:p>
    <w:p>
      <w:pPr>
        <w:pStyle w:val="976"/>
        <w:ind w:left="0" w:firstLine="709"/>
        <w:rPr>
          <w:rStyle w:val="961"/>
        </w:rPr>
      </w:pPr>
      <w:r>
        <w:rPr>
          <w:b/>
        </w:rPr>
        <w:t xml:space="preserve">3.12.</w:t>
      </w:r>
      <w:r>
        <w:t xml:space="preserve"> Отчет об оценке рыночной стоимости федерального имущества размещен в открытом</w:t>
      </w:r>
      <w:r>
        <w:t xml:space="preserve"> доступе в сети «Интернет» на сайте </w:t>
      </w:r>
      <w:hyperlink r:id="rId12" w:tooltip="https://fedresurs.ru" w:history="1">
        <w:r>
          <w:rPr>
            <w:rStyle w:val="961"/>
          </w:rPr>
          <w:t xml:space="preserve">https://fedresurs.ru</w:t>
        </w:r>
      </w:hyperlink>
      <w:r>
        <w:t xml:space="preserve">. Ссылка на отчет - </w:t>
      </w:r>
      <w:r>
        <w:rPr>
          <w:rStyle w:val="961"/>
        </w:rPr>
        <w:t xml:space="preserve">https://fedresurs.ru/sfactmessages/9a76c1e4-20cf-4404-a075-44a72c488890</w:t>
      </w:r>
      <w:r>
        <w:rPr>
          <w:rStyle w:val="961"/>
        </w:rPr>
      </w:r>
      <w:r>
        <w:rPr>
          <w:rStyle w:val="961"/>
        </w:rPr>
      </w:r>
    </w:p>
    <w:p>
      <w:pPr>
        <w:ind w:firstLine="709"/>
        <w:jc w:val="center"/>
        <w:spacing w:before="240"/>
        <w:tabs>
          <w:tab w:val="left" w:pos="0" w:leader="none"/>
        </w:tabs>
        <w:rPr>
          <w:b/>
        </w:rPr>
      </w:pPr>
      <w:r>
        <w:rPr>
          <w:b/>
        </w:rPr>
        <w:t xml:space="preserve">4. Место, сроки подачи (приема) заявок, опред</w:t>
      </w:r>
      <w:r>
        <w:rPr>
          <w:b/>
        </w:rPr>
        <w:t xml:space="preserve">еления участников и проведения аукциона</w:t>
      </w:r>
      <w:r>
        <w:rPr>
          <w:b/>
        </w:rPr>
      </w:r>
      <w:r>
        <w:rPr>
          <w:b/>
        </w:rPr>
      </w:r>
    </w:p>
    <w:p>
      <w:pPr>
        <w:pStyle w:val="976"/>
        <w:ind w:left="0" w:firstLine="709"/>
        <w:tabs>
          <w:tab w:val="left" w:pos="0" w:leader="none"/>
          <w:tab w:val="clear" w:pos="284" w:leader="none"/>
        </w:tabs>
      </w:pPr>
      <w:r>
        <w:rPr>
          <w:b/>
        </w:rPr>
        <w:t xml:space="preserve">4.1. Место подачи (приема) Заявок: </w:t>
      </w:r>
      <w:r>
        <w:rPr>
          <w:rStyle w:val="961"/>
          <w:color w:val="000000"/>
        </w:rPr>
        <w:t xml:space="preserve">http://utp.sberbank-ast.ru/</w:t>
      </w:r>
      <w:r>
        <w:t xml:space="preserve">.</w:t>
      </w:r>
      <w:r/>
    </w:p>
    <w:p>
      <w:pPr>
        <w:pStyle w:val="976"/>
        <w:ind w:left="0" w:firstLine="709"/>
        <w:tabs>
          <w:tab w:val="left" w:pos="0" w:leader="none"/>
          <w:tab w:val="clear" w:pos="284" w:leader="none"/>
        </w:tabs>
        <w:rPr>
          <w:color w:val="000000" w:themeColor="text1"/>
        </w:rPr>
      </w:pPr>
      <w:r>
        <w:rPr>
          <w:b/>
        </w:rPr>
        <w:t xml:space="preserve">4.2. </w:t>
      </w:r>
      <w:r>
        <w:rPr>
          <w:b/>
          <w:color w:val="auto"/>
        </w:rPr>
        <w:t xml:space="preserve">Дата и время начала подачи (приема) Заявок:</w:t>
      </w:r>
      <w:r>
        <w:rPr>
          <w:color w:val="auto"/>
        </w:rPr>
        <w:t xml:space="preserve"> </w:t>
      </w:r>
      <w:r>
        <w:rPr>
          <w:color w:val="000000" w:themeColor="text1"/>
        </w:rPr>
        <w:t xml:space="preserve">11</w:t>
      </w:r>
      <w:r>
        <w:rPr>
          <w:color w:val="000000" w:themeColor="text1"/>
        </w:rPr>
        <w:t xml:space="preserve"> июля 2026 г. в 14.00 </w:t>
      </w:r>
      <w:r>
        <w:rPr>
          <w:color w:val="000000" w:themeColor="text1"/>
        </w:rPr>
        <w:t xml:space="preserve">по московскому времени. </w:t>
      </w:r>
      <w:r>
        <w:rPr>
          <w:color w:val="000000" w:themeColor="text1"/>
        </w:rPr>
      </w:r>
      <w:r>
        <w:rPr>
          <w:color w:val="000000" w:themeColor="text1"/>
        </w:rPr>
      </w:r>
    </w:p>
    <w:p>
      <w:pPr>
        <w:ind w:firstLine="709"/>
        <w:jc w:val="both"/>
        <w:rPr>
          <w:color w:val="000000" w:themeColor="text1"/>
        </w:rPr>
      </w:pPr>
      <w:r>
        <w:rPr>
          <w:color w:val="000000" w:themeColor="text1"/>
        </w:rPr>
        <w:t xml:space="preserve">Подача Заявок осуществляется круглосуточно.</w:t>
      </w:r>
      <w:r>
        <w:rPr>
          <w:color w:val="000000" w:themeColor="text1"/>
        </w:rPr>
      </w:r>
      <w:r>
        <w:rPr>
          <w:color w:val="000000" w:themeColor="text1"/>
        </w:rPr>
      </w:r>
    </w:p>
    <w:p>
      <w:pPr>
        <w:ind w:firstLine="709"/>
        <w:jc w:val="both"/>
        <w:rPr>
          <w:color w:val="000000" w:themeColor="text1"/>
        </w:rPr>
      </w:pPr>
      <w:r>
        <w:rPr>
          <w:b/>
          <w:color w:val="000000" w:themeColor="text1"/>
        </w:rPr>
        <w:t xml:space="preserve">4.3. Дата и время окончания подачи (приема) Заявок:</w:t>
      </w:r>
      <w:r>
        <w:rPr>
          <w:color w:val="000000" w:themeColor="text1"/>
        </w:rPr>
        <w:t xml:space="preserve"> 16</w:t>
      </w:r>
      <w:r>
        <w:rPr>
          <w:color w:val="000000" w:themeColor="text1"/>
        </w:rPr>
        <w:t xml:space="preserve"> июля 2026 г</w:t>
      </w:r>
      <w:r>
        <w:rPr>
          <w:color w:val="000000" w:themeColor="text1"/>
        </w:rPr>
        <w:t xml:space="preserve">. в 16.00 по московскому времени.</w:t>
      </w:r>
      <w:r>
        <w:rPr>
          <w:color w:val="000000" w:themeColor="text1"/>
        </w:rPr>
      </w:r>
      <w:r>
        <w:rPr>
          <w:color w:val="000000" w:themeColor="text1"/>
        </w:rPr>
      </w:r>
    </w:p>
    <w:p>
      <w:pPr>
        <w:ind w:firstLine="709"/>
        <w:jc w:val="both"/>
        <w:rPr>
          <w:color w:val="000000" w:themeColor="text1"/>
        </w:rPr>
      </w:pPr>
      <w:r>
        <w:rPr>
          <w:b/>
          <w:color w:val="000000" w:themeColor="text1"/>
        </w:rPr>
        <w:t xml:space="preserve">4.4. Дата определения Участников:</w:t>
      </w:r>
      <w:r>
        <w:rPr>
          <w:color w:val="000000" w:themeColor="text1"/>
        </w:rPr>
        <w:t xml:space="preserve"> 20</w:t>
      </w:r>
      <w:r>
        <w:rPr>
          <w:color w:val="000000" w:themeColor="text1"/>
        </w:rPr>
        <w:t xml:space="preserve"> июля 2026 г</w:t>
      </w:r>
      <w:r>
        <w:rPr>
          <w:color w:val="000000" w:themeColor="text1"/>
        </w:rPr>
        <w:t xml:space="preserve">. </w:t>
      </w:r>
      <w:r>
        <w:rPr>
          <w:color w:val="000000" w:themeColor="text1"/>
        </w:rPr>
      </w:r>
      <w:r>
        <w:rPr>
          <w:color w:val="000000" w:themeColor="text1"/>
        </w:rPr>
      </w:r>
    </w:p>
    <w:p>
      <w:pPr>
        <w:ind w:firstLine="709"/>
        <w:jc w:val="both"/>
        <w:rPr>
          <w:color w:val="000000" w:themeColor="text1"/>
        </w:rPr>
      </w:pPr>
      <w:r>
        <w:rPr>
          <w:b/>
          <w:color w:val="000000" w:themeColor="text1"/>
        </w:rPr>
        <w:t xml:space="preserve">4.5. Дата, время и срок проведения аукциона:</w:t>
      </w:r>
      <w:r>
        <w:rPr>
          <w:color w:val="000000" w:themeColor="text1"/>
        </w:rPr>
        <w:t xml:space="preserve"> 22</w:t>
      </w:r>
      <w:r>
        <w:rPr>
          <w:color w:val="000000" w:themeColor="text1"/>
        </w:rPr>
        <w:t xml:space="preserve"> июля 2026 г. в 13.00</w:t>
      </w:r>
      <w:r>
        <w:rPr>
          <w:color w:val="000000" w:themeColor="text1"/>
        </w:rPr>
        <w:t xml:space="preserve"> по московскому времени и до</w:t>
      </w:r>
      <w:r>
        <w:rPr>
          <w:color w:val="000000" w:themeColor="text1"/>
        </w:rPr>
        <w:t xml:space="preserve"> последнего предложения Участников.</w:t>
      </w:r>
      <w:r>
        <w:rPr>
          <w:color w:val="000000" w:themeColor="text1"/>
        </w:rPr>
      </w:r>
      <w:r>
        <w:rPr>
          <w:color w:val="000000" w:themeColor="text1"/>
        </w:rPr>
      </w:r>
    </w:p>
    <w:p>
      <w:pPr>
        <w:jc w:val="both"/>
        <w:rPr>
          <w:b/>
          <w:i/>
        </w:rPr>
      </w:pPr>
      <w:r>
        <w:rPr>
          <w:b/>
          <w:i/>
        </w:rPr>
      </w:r>
      <w:r>
        <w:rPr>
          <w:b/>
          <w:i/>
        </w:rPr>
      </w:r>
      <w:r>
        <w:rPr>
          <w:b/>
          <w:i/>
        </w:rPr>
      </w:r>
    </w:p>
    <w:p>
      <w:pPr>
        <w:contextualSpacing/>
        <w:ind w:firstLine="709"/>
        <w:jc w:val="center"/>
        <w:widowControl w:val="off"/>
        <w:rPr>
          <w:b/>
        </w:rPr>
      </w:pPr>
      <w:r>
        <w:rPr>
          <w:b/>
        </w:rPr>
        <w:t xml:space="preserve">5. Срок и порядок регистрации на электронной площадке</w:t>
      </w:r>
      <w:r>
        <w:rPr>
          <w:b/>
        </w:rPr>
      </w:r>
      <w:r>
        <w:rPr>
          <w:b/>
        </w:rPr>
      </w:r>
    </w:p>
    <w:p>
      <w:pPr>
        <w:pStyle w:val="976"/>
        <w:ind w:left="0" w:firstLine="709"/>
      </w:pPr>
      <w:r>
        <w:t xml:space="preserve">5.1. Для обеспечения доступа к участию в электронном </w:t>
      </w:r>
      <w:r>
        <w:t xml:space="preserve">аукционе</w:t>
      </w:r>
      <w:r>
        <w:t xml:space="preserve"> Претендентам необходимо пройти процедуру регистрации в соответствии с Регламентом электронной площадки Организатора продажи.</w:t>
      </w:r>
      <w:r/>
    </w:p>
    <w:p>
      <w:pPr>
        <w:pStyle w:val="976"/>
        <w:ind w:left="0" w:firstLine="709"/>
      </w:pPr>
      <w:r>
        <w:t xml:space="preserve">5.2. Дата и время регистрации на электронной площадке претендентов на участие в аукционе осуществляется ежедневно, круглосуточно, </w:t>
      </w:r>
      <w:r>
        <w:t xml:space="preserve">но не позднее даты и времени окончания подачи (приема) Заявок.</w:t>
      </w:r>
      <w:r/>
    </w:p>
    <w:p>
      <w:pPr>
        <w:pStyle w:val="976"/>
        <w:ind w:left="0" w:firstLine="709"/>
      </w:pPr>
      <w:r>
        <w:t xml:space="preserve">5.3. Регистрация на электронной площадке осуществляется без взимания платы.</w:t>
      </w:r>
      <w:r/>
    </w:p>
    <w:p>
      <w:pPr>
        <w:pStyle w:val="976"/>
        <w:ind w:left="0" w:firstLine="709"/>
      </w:pPr>
      <w:r>
        <w:t xml:space="preserve">5.4. Регистрации на электронной площадке подлежат Претенденты, ранее не зарегистрированные на электронной площадке ил</w:t>
      </w:r>
      <w:r>
        <w:t xml:space="preserve">и регистрация которых, на электронной площадке была ими прекращена.</w:t>
      </w:r>
      <w:r/>
    </w:p>
    <w:p>
      <w:pPr>
        <w:pStyle w:val="976"/>
        <w:ind w:left="0" w:firstLine="709"/>
      </w:pPr>
      <w:r>
        <w:t xml:space="preserve">5.5. Регистрация на электронной площадке проводится в соответствии с Регламентом электронной площадки.</w:t>
      </w:r>
      <w:r/>
    </w:p>
    <w:p>
      <w:pPr>
        <w:pStyle w:val="976"/>
        <w:ind w:left="0" w:firstLine="709"/>
      </w:pPr>
      <w:r/>
      <w:r/>
    </w:p>
    <w:p>
      <w:pPr>
        <w:pStyle w:val="976"/>
        <w:numPr>
          <w:ilvl w:val="0"/>
          <w:numId w:val="3"/>
        </w:numPr>
        <w:ind w:left="0" w:firstLine="851"/>
        <w:jc w:val="center"/>
        <w:tabs>
          <w:tab w:val="clear" w:pos="284" w:leader="none"/>
        </w:tabs>
        <w:rPr>
          <w:b/>
        </w:rPr>
      </w:pPr>
      <w:r>
        <w:rPr>
          <w:b/>
        </w:rPr>
        <w:t xml:space="preserve">Порядок подачи (приема) и отзыва заявок</w:t>
      </w:r>
      <w:r>
        <w:rPr>
          <w:b/>
        </w:rPr>
      </w:r>
      <w:r>
        <w:rPr>
          <w:b/>
        </w:rPr>
      </w:r>
    </w:p>
    <w:p>
      <w:pPr>
        <w:ind w:firstLine="709"/>
        <w:jc w:val="both"/>
        <w:tabs>
          <w:tab w:val="left" w:pos="284" w:leader="none"/>
        </w:tabs>
      </w:pPr>
      <w:r>
        <w:t xml:space="preserve">6.1. Прием заявок и прилагаемых к ним докуме</w:t>
      </w:r>
      <w:r>
        <w:t xml:space="preserve">нтов начинается с даты и времени, </w:t>
      </w:r>
      <w:r>
        <w:br/>
        <w:t xml:space="preserve">указанных в информационном сообщении о проведении продажи имущества, осуществляется в сроки, установленные в Информационном сообщении.</w:t>
      </w:r>
      <w:r/>
    </w:p>
    <w:p>
      <w:pPr>
        <w:ind w:firstLine="709"/>
        <w:jc w:val="both"/>
        <w:tabs>
          <w:tab w:val="left" w:pos="284" w:leader="none"/>
        </w:tabs>
      </w:pPr>
      <w:r>
        <w:t xml:space="preserve">6.2. Для участия в продаже имущества на аукционе претенденты перечисляют задаток в раз</w:t>
      </w:r>
      <w:r>
        <w:t xml:space="preserve">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w:t>
      </w:r>
      <w:r>
        <w:t xml:space="preserve">нформационном сообщении о проведен</w:t>
      </w:r>
      <w:r>
        <w:t xml:space="preserve">ии ау</w:t>
      </w:r>
      <w:r>
        <w:t xml:space="preserve">кциона.</w:t>
      </w:r>
      <w:r/>
    </w:p>
    <w:p>
      <w:pPr>
        <w:ind w:firstLine="709"/>
        <w:jc w:val="both"/>
        <w:tabs>
          <w:tab w:val="left" w:pos="284" w:leader="none"/>
        </w:tabs>
        <w:rPr>
          <w:b/>
        </w:rPr>
      </w:pPr>
      <w:r>
        <w:t xml:space="preserve">6.3. </w:t>
      </w:r>
      <w:r>
        <w:rPr>
          <w:b/>
          <w:highlight w:val="yellow"/>
        </w:rPr>
        <w:t xml:space="preserve">Заявка (приложение № 1)</w:t>
      </w:r>
      <w:r>
        <w:rPr>
          <w:b/>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w:t>
      </w:r>
      <w:r>
        <w:rPr>
          <w:b/>
        </w:rPr>
        <w:t xml:space="preserve">), с приложением электронных образов документов, предусмотренных Федеральным </w:t>
      </w:r>
      <w:hyperlink r:id="rId13" w:tooltip="consultantplus://offline/ref=8608A915A77589369BD2B7F347595D5ABC538B22E06FA735FD52FF4C23570EP" w:history="1">
        <w:r>
          <w:rPr>
            <w:b/>
          </w:rPr>
          <w:t xml:space="preserve">законом</w:t>
        </w:r>
      </w:hyperlink>
      <w:r>
        <w:rPr>
          <w:b/>
        </w:rPr>
        <w:t xml:space="preserve"> о приватизации от 21 декабря 2001 г. № 178-ФЗ «О приватизации государственного и муниципального имущества».</w:t>
      </w:r>
      <w:r>
        <w:rPr>
          <w:b/>
        </w:rPr>
      </w:r>
      <w:r>
        <w:rPr>
          <w:b/>
        </w:rPr>
      </w:r>
    </w:p>
    <w:p>
      <w:pPr>
        <w:ind w:firstLine="709"/>
        <w:jc w:val="both"/>
        <w:tabs>
          <w:tab w:val="left" w:pos="284" w:leader="none"/>
        </w:tabs>
      </w:pPr>
      <w:r>
        <w:t xml:space="preserve">6.4. Одно лицо имеет право подать только одну заявку.</w:t>
      </w:r>
      <w:r/>
    </w:p>
    <w:p>
      <w:pPr>
        <w:ind w:firstLine="709"/>
        <w:jc w:val="both"/>
        <w:tabs>
          <w:tab w:val="left" w:pos="284" w:leader="none"/>
        </w:tabs>
      </w:pPr>
      <w:r>
        <w:t xml:space="preserve">6.5. При приеме заявок от претендентов Организатор продаж обеспечивает:</w:t>
      </w:r>
      <w:r/>
    </w:p>
    <w:p>
      <w:pPr>
        <w:ind w:firstLine="709"/>
        <w:jc w:val="both"/>
        <w:tabs>
          <w:tab w:val="left" w:pos="284" w:leader="none"/>
        </w:tabs>
      </w:pPr>
      <w:r>
        <w:t xml:space="preserve">- регистрацию заявок и прилагаемых к ним документов в </w:t>
      </w:r>
      <w:r>
        <w:t xml:space="preserve">журнале</w:t>
      </w:r>
      <w:r>
        <w:t xml:space="preserve"> приема заявок. Каждой заявке присваивается номер с указанием даты и времени приема;</w:t>
      </w:r>
      <w:r/>
    </w:p>
    <w:p>
      <w:pPr>
        <w:ind w:firstLine="709"/>
        <w:jc w:val="both"/>
        <w:tabs>
          <w:tab w:val="left" w:pos="284" w:leader="none"/>
        </w:tabs>
      </w:pPr>
      <w:r>
        <w:t xml:space="preserve">- конфиденциальность данных о Претенде</w:t>
      </w:r>
      <w:r>
        <w:t xml:space="preserve">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 августа 2012 г. № 860 «Об организации и проведении продажи государственного или муниципаль</w:t>
      </w:r>
      <w:r>
        <w:t xml:space="preserve">ного имущества в электронной форме».</w:t>
      </w:r>
      <w:r/>
    </w:p>
    <w:p>
      <w:pPr>
        <w:pStyle w:val="976"/>
        <w:ind w:left="0" w:firstLine="709"/>
      </w:pPr>
      <w:r>
        <w:t xml:space="preserve">6.6. В течение одного часа со времени поступления заявки организатор сообщает претенденту о ее поступлении путем направления </w:t>
      </w:r>
      <w:r>
        <w:t xml:space="preserve">уведомления</w:t>
      </w:r>
      <w:r>
        <w:t xml:space="preserve"> с приложением электронных копий зарегистрированной заявки и прилагаемых к ней доку</w:t>
      </w:r>
      <w:r>
        <w:t xml:space="preserve">ментов.</w:t>
      </w:r>
      <w:r/>
    </w:p>
    <w:p>
      <w:pPr>
        <w:pStyle w:val="976"/>
        <w:ind w:left="0" w:firstLine="709"/>
      </w:pPr>
      <w:r>
        <w:t xml:space="preserve">6.7. Заявки с прилагаемыми к ним документами, поданные с нарушением установленного срока, на электронной площадке не регистрируются.</w:t>
      </w:r>
      <w:r/>
    </w:p>
    <w:p>
      <w:pPr>
        <w:pStyle w:val="976"/>
        <w:ind w:left="0" w:firstLine="709"/>
      </w:pPr>
      <w:r>
        <w:t xml:space="preserve">6.8. Претендент вправе не позднее дня окончания приема заявок отозвать заявку путем направления уведомления об отзы</w:t>
      </w:r>
      <w:r>
        <w:t xml:space="preserve">ве заявки на электронную площадку.</w:t>
      </w:r>
      <w:r/>
    </w:p>
    <w:p>
      <w:pPr>
        <w:pStyle w:val="976"/>
        <w:ind w:left="0" w:firstLine="709"/>
      </w:pPr>
      <w:r>
        <w:t xml:space="preserve">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p>
    <w:p>
      <w:pPr>
        <w:pStyle w:val="976"/>
        <w:ind w:left="0" w:firstLine="709"/>
        <w:rPr>
          <w:rFonts w:ascii="TimesNewRoman" w:hAnsi="TimesNewRoman"/>
        </w:rPr>
      </w:pPr>
      <w:r>
        <w:t xml:space="preserve">6.10. </w:t>
      </w:r>
      <w:r>
        <w:rPr>
          <w:rFonts w:ascii="TimesNewRoman" w:hAnsi="TimesNewRoman"/>
        </w:rPr>
        <w:t xml:space="preserve">Все по</w:t>
      </w:r>
      <w:r>
        <w:rPr>
          <w:rFonts w:ascii="TimesNewRoman" w:hAnsi="TimesNewRoman"/>
        </w:rPr>
        <w:t xml:space="preserve">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w:t>
      </w:r>
      <w:r>
        <w:rPr>
          <w:rFonts w:ascii="TimesNewRoman" w:hAnsi="TimesNewRoman"/>
        </w:rPr>
        <w:t xml:space="preserve">четкими и читаемыми. Подписи на оригин</w:t>
      </w:r>
      <w:r>
        <w:rPr>
          <w:rFonts w:ascii="TimesNewRoman" w:hAnsi="TimesNewRoman"/>
        </w:rPr>
        <w:t xml:space="preserve">алах и копиях документов должны быть расшифрованы (указывается должность, фамилия и инициалы подписавшегося лица).</w:t>
      </w:r>
      <w:r>
        <w:rPr>
          <w:rFonts w:ascii="TimesNewRoman" w:hAnsi="TimesNewRoman"/>
        </w:rPr>
      </w:r>
      <w:r>
        <w:rPr>
          <w:rFonts w:ascii="TimesNewRoman" w:hAnsi="TimesNewRoman"/>
        </w:rPr>
      </w:r>
    </w:p>
    <w:p>
      <w:pPr>
        <w:ind w:firstLine="709"/>
        <w:jc w:val="both"/>
      </w:pPr>
      <w:r>
        <w:rPr>
          <w:b/>
          <w:bCs/>
          <w:szCs w:val="24"/>
        </w:rPr>
        <w:t xml:space="preserve">Подача претендентом заявки на участие в </w:t>
      </w:r>
      <w:r>
        <w:rPr>
          <w:b/>
          <w:bCs/>
          <w:szCs w:val="24"/>
        </w:rPr>
        <w:t xml:space="preserve">торгах</w:t>
      </w:r>
      <w:r>
        <w:rPr>
          <w:b/>
          <w:bCs/>
          <w:szCs w:val="24"/>
        </w:rPr>
        <w:t xml:space="preserve"> с приложением соответствующего требованиям законодательства Российской Федерации комплекта док</w:t>
      </w:r>
      <w:r>
        <w:rPr>
          <w:b/>
          <w:bCs/>
          <w:szCs w:val="24"/>
        </w:rPr>
        <w:t xml:space="preserve">ументов и оплатой задатка является согласием претендента с условиями, установленными настоящим Информационным сообщением.</w:t>
      </w:r>
      <w:r/>
    </w:p>
    <w:p>
      <w:pPr>
        <w:pStyle w:val="976"/>
        <w:ind w:left="0" w:firstLine="851"/>
        <w:rPr>
          <w:rFonts w:ascii="TimesNewRoman" w:hAnsi="TimesNewRoman"/>
          <w:sz w:val="22"/>
        </w:rPr>
      </w:pPr>
      <w:r>
        <w:rPr>
          <w:rFonts w:ascii="TimesNewRoman" w:hAnsi="TimesNewRoman"/>
          <w:sz w:val="22"/>
        </w:rPr>
      </w:r>
      <w:r>
        <w:rPr>
          <w:rFonts w:ascii="TimesNewRoman" w:hAnsi="TimesNewRoman"/>
          <w:sz w:val="22"/>
        </w:rPr>
      </w:r>
      <w:r>
        <w:rPr>
          <w:rFonts w:ascii="TimesNewRoman" w:hAnsi="TimesNewRoman"/>
          <w:sz w:val="22"/>
        </w:rPr>
      </w:r>
    </w:p>
    <w:p>
      <w:pPr>
        <w:pStyle w:val="976"/>
        <w:numPr>
          <w:ilvl w:val="0"/>
          <w:numId w:val="3"/>
        </w:numPr>
        <w:ind w:left="0" w:firstLine="851"/>
        <w:jc w:val="center"/>
        <w:tabs>
          <w:tab w:val="clear" w:pos="284" w:leader="none"/>
        </w:tabs>
        <w:rPr>
          <w:b/>
        </w:rPr>
      </w:pPr>
      <w:r>
        <w:rPr>
          <w:b/>
        </w:rPr>
        <w:t xml:space="preserve">Перечень документов представляемых участниками торгов и требования к их оформлению</w:t>
      </w:r>
      <w:r>
        <w:rPr>
          <w:b/>
        </w:rPr>
      </w:r>
      <w:r>
        <w:rPr>
          <w:b/>
        </w:rPr>
      </w:r>
    </w:p>
    <w:p>
      <w:pPr>
        <w:ind w:firstLine="709"/>
        <w:jc w:val="both"/>
        <w:rPr>
          <w:rFonts w:ascii="TimesNewRoman" w:hAnsi="TimesNewRoman"/>
          <w:b/>
          <w:u w:val="single"/>
        </w:rPr>
      </w:pPr>
      <w:r>
        <w:rPr>
          <w:rFonts w:ascii="TimesNewRoman" w:hAnsi="TimesNewRoman"/>
        </w:rPr>
        <w:t xml:space="preserve">7.1. </w:t>
      </w:r>
      <w:r>
        <w:rPr>
          <w:rFonts w:ascii="TimesNewRoman" w:hAnsi="TimesNewRoman"/>
          <w:b/>
          <w:u w:val="single"/>
        </w:rPr>
        <w:t xml:space="preserve">Одновременно с Заявкой на участие в аукционе </w:t>
      </w:r>
      <w:r>
        <w:rPr>
          <w:rFonts w:ascii="TimesNewRoman" w:hAnsi="TimesNewRoman"/>
          <w:b/>
          <w:u w:val="single"/>
        </w:rPr>
        <w:t xml:space="preserve">(п. 6.3 Информационного сообщения</w:t>
      </w:r>
      <w:r>
        <w:rPr>
          <w:rFonts w:ascii="TimesNewRoman" w:hAnsi="TimesNewRoman"/>
          <w:b/>
          <w:u w:val="single"/>
        </w:rPr>
        <w:t xml:space="preserve">)П</w:t>
      </w:r>
      <w:r>
        <w:rPr>
          <w:rFonts w:ascii="TimesNewRoman" w:hAnsi="TimesNewRoman"/>
          <w:b/>
          <w:u w:val="single"/>
        </w:rPr>
        <w:t xml:space="preserve">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w:t>
      </w:r>
      <w:r>
        <w:rPr>
          <w:rFonts w:ascii="TimesNewRoman" w:hAnsi="TimesNewRoman"/>
          <w:b/>
          <w:u w:val="single"/>
        </w:rPr>
        <w:t xml:space="preserve"> их реквизитов), заверенных электронной подписью:</w:t>
      </w:r>
      <w:r>
        <w:rPr>
          <w:rFonts w:ascii="TimesNewRoman" w:hAnsi="TimesNewRoman"/>
          <w:b/>
          <w:u w:val="single"/>
        </w:rPr>
      </w:r>
      <w:r>
        <w:rPr>
          <w:rFonts w:ascii="TimesNewRoman" w:hAnsi="TimesNewRoman"/>
          <w:b/>
          <w:u w:val="single"/>
        </w:rPr>
      </w:r>
    </w:p>
    <w:p>
      <w:pPr>
        <w:pStyle w:val="976"/>
        <w:ind w:left="0" w:firstLine="709"/>
        <w:rPr>
          <w:rFonts w:ascii="TimesNewRoman" w:hAnsi="TimesNewRoman"/>
          <w:b/>
          <w:u w:val="single"/>
        </w:rPr>
      </w:pPr>
      <w:r>
        <w:rPr>
          <w:rFonts w:ascii="TimesNewRoman" w:hAnsi="TimesNewRoman"/>
          <w:b/>
          <w:u w:val="single"/>
        </w:rPr>
        <w:t xml:space="preserve">7.1.1. юридические лица:</w:t>
      </w:r>
      <w:r>
        <w:rPr>
          <w:rFonts w:ascii="TimesNewRoman" w:hAnsi="TimesNewRoman"/>
          <w:b/>
          <w:u w:val="single"/>
        </w:rPr>
      </w:r>
      <w:r>
        <w:rPr>
          <w:rFonts w:ascii="TimesNewRoman" w:hAnsi="TimesNewRoman"/>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завере</w:t>
      </w:r>
      <w:r>
        <w:rPr>
          <w:szCs w:val="24"/>
        </w:rPr>
        <w:t xml:space="preserve">нные копии учредительных документов;</w:t>
      </w:r>
      <w:r>
        <w:rPr>
          <w:szCs w:val="24"/>
        </w:rPr>
      </w:r>
      <w:r>
        <w:rPr>
          <w:szCs w:val="24"/>
        </w:rPr>
      </w:r>
    </w:p>
    <w:p>
      <w:pPr>
        <w:ind w:firstLine="709"/>
        <w:jc w:val="both"/>
        <w:rPr>
          <w:szCs w:val="24"/>
        </w:rPr>
      </w:pPr>
      <w:r>
        <w:rPr>
          <w:szCs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w:t>
      </w:r>
      <w:r>
        <w:rPr>
          <w:szCs w:val="24"/>
        </w:rPr>
        <w:t xml:space="preserve">одитель юридического лица обладает правом действовать от имени юридического лица без доверенности;</w:t>
      </w:r>
      <w:r>
        <w:rPr>
          <w:szCs w:val="24"/>
        </w:rPr>
      </w:r>
      <w:r>
        <w:rPr>
          <w:szCs w:val="24"/>
        </w:rPr>
      </w:r>
    </w:p>
    <w:p>
      <w:pPr>
        <w:ind w:firstLine="709"/>
        <w:jc w:val="both"/>
        <w:rPr>
          <w:szCs w:val="24"/>
        </w:rPr>
      </w:pPr>
      <w:r>
        <w:rPr>
          <w:szCs w:val="24"/>
        </w:rPr>
        <w:t xml:space="preserve">- документ, содержащий сведения</w:t>
      </w:r>
      <w:r>
        <w:rPr>
          <w:szCs w:val="24"/>
        </w:rPr>
        <w:t xml:space="preserve">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w:t>
      </w:r>
      <w:r>
        <w:rPr>
          <w:szCs w:val="24"/>
        </w:rPr>
        <w:t xml:space="preserve">одаже.</w:t>
      </w:r>
      <w:r>
        <w:rPr>
          <w:szCs w:val="24"/>
        </w:rPr>
      </w:r>
      <w:r>
        <w:rPr>
          <w:szCs w:val="24"/>
        </w:rPr>
      </w:r>
    </w:p>
    <w:p>
      <w:pPr>
        <w:ind w:firstLine="709"/>
        <w:jc w:val="both"/>
        <w:rPr>
          <w:b/>
          <w:u w:val="single"/>
        </w:rPr>
      </w:pPr>
      <w:r>
        <w:rPr>
          <w:b/>
          <w:u w:val="single"/>
        </w:rPr>
        <w:t xml:space="preserve">7.1.2. физические лица, в том числе индивидуальные предприниматели </w:t>
      </w:r>
      <w:r>
        <w:rPr>
          <w:b/>
          <w:u w:val="single"/>
        </w:rPr>
      </w:r>
      <w:r>
        <w:rPr>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документ, удостоверяющий личность </w:t>
      </w:r>
      <w:r>
        <w:rPr>
          <w:b/>
          <w:szCs w:val="24"/>
        </w:rPr>
        <w:t xml:space="preserve">(копии всех страниц);</w:t>
      </w:r>
      <w:r>
        <w:rPr>
          <w:szCs w:val="24"/>
        </w:rPr>
      </w:r>
      <w:r>
        <w:rPr>
          <w:szCs w:val="24"/>
        </w:rPr>
      </w:r>
    </w:p>
    <w:p>
      <w:pPr>
        <w:ind w:firstLine="709"/>
        <w:jc w:val="both"/>
        <w:rPr>
          <w:szCs w:val="24"/>
        </w:rPr>
      </w:pPr>
      <w:r>
        <w:rPr>
          <w:szCs w:val="24"/>
        </w:rPr>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w:t>
      </w:r>
      <w:r>
        <w:rPr>
          <w:szCs w:val="24"/>
        </w:rPr>
        <w:t xml:space="preserve">окумента не влечет за собой отказ в допуске к участию в продаже.</w:t>
      </w:r>
      <w:r>
        <w:rPr>
          <w:szCs w:val="24"/>
        </w:rPr>
      </w:r>
      <w:r>
        <w:rPr>
          <w:szCs w:val="24"/>
        </w:rPr>
      </w:r>
    </w:p>
    <w:p>
      <w:pPr>
        <w:ind w:firstLine="709"/>
        <w:jc w:val="both"/>
      </w:pPr>
      <w:r>
        <w:t xml:space="preserve">7.1.3. Документы, представляемые иностранными лицами, должны быть легализованы в установленном </w:t>
      </w:r>
      <w:r>
        <w:t xml:space="preserve">порядке</w:t>
      </w:r>
      <w:r>
        <w:t xml:space="preserve"> и иметь нотариально заверенный перевод на русский язык.</w:t>
      </w:r>
      <w:r/>
    </w:p>
    <w:p>
      <w:pPr>
        <w:ind w:firstLine="709"/>
        <w:jc w:val="both"/>
      </w:pPr>
      <w:r>
        <w:t xml:space="preserve">7.1.4. Указанные документы (в то</w:t>
      </w:r>
      <w:r>
        <w:t xml:space="preserve">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r/>
    </w:p>
    <w:p>
      <w:pPr>
        <w:ind w:firstLine="709"/>
        <w:jc w:val="both"/>
      </w:pPr>
      <w:r>
        <w:t xml:space="preserve">7.1.5. Заявки подаются одновременно с полным комплектом документов, ус</w:t>
      </w:r>
      <w:r>
        <w:t xml:space="preserve">тановленным в </w:t>
      </w:r>
      <w:r>
        <w:t xml:space="preserve">настоящем</w:t>
      </w:r>
      <w:r>
        <w:t xml:space="preserve"> Информационном сообщении. </w:t>
      </w:r>
      <w:r/>
    </w:p>
    <w:p>
      <w:pPr>
        <w:ind w:firstLine="709"/>
        <w:jc w:val="both"/>
        <w:tabs>
          <w:tab w:val="left" w:pos="284" w:leader="none"/>
        </w:tabs>
      </w:pPr>
      <w:r>
        <w:t xml:space="preserve">7.1.6.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w:t>
      </w:r>
      <w:r>
        <w:t xml:space="preserve">витель несет ответственность за подлинность и достоверность таких документов и сведений. </w:t>
      </w:r>
      <w:r/>
    </w:p>
    <w:p>
      <w:pPr>
        <w:ind w:firstLine="709"/>
        <w:jc w:val="both"/>
        <w:tabs>
          <w:tab w:val="left" w:pos="284" w:leader="none"/>
        </w:tabs>
      </w:pPr>
      <w:r>
        <w:t xml:space="preserve">7.1.7. </w:t>
      </w:r>
      <w:r>
        <w:t xml:space="preserve">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w:t>
      </w:r>
      <w:r>
        <w:t xml:space="preserve">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w:t>
      </w:r>
      <w:r>
        <w:t xml:space="preserve">ть от имени соответственно Продавца, претендента или участника. </w:t>
      </w:r>
      <w:r/>
    </w:p>
    <w:p>
      <w:pPr>
        <w:ind w:firstLine="709"/>
        <w:jc w:val="both"/>
        <w:tabs>
          <w:tab w:val="left" w:pos="284" w:leader="none"/>
        </w:tabs>
      </w:pPr>
      <w:r/>
      <w:r/>
    </w:p>
    <w:p>
      <w:pPr>
        <w:pStyle w:val="976"/>
        <w:ind w:left="851" w:firstLine="0"/>
        <w:jc w:val="center"/>
        <w:tabs>
          <w:tab w:val="clear" w:pos="284" w:leader="none"/>
        </w:tabs>
        <w:rPr>
          <w:rFonts w:ascii="TimesNewRoman" w:hAnsi="TimesNewRoman"/>
          <w:sz w:val="22"/>
        </w:rPr>
      </w:pPr>
      <w:r>
        <w:rPr>
          <w:b/>
        </w:rPr>
        <w:t xml:space="preserve">8. Ограничения участия в </w:t>
      </w:r>
      <w:r>
        <w:rPr>
          <w:b/>
        </w:rPr>
        <w:t xml:space="preserve">аукционе</w:t>
      </w:r>
      <w:r>
        <w:rPr>
          <w:b/>
        </w:rPr>
        <w:t xml:space="preserve"> отдельных категорий физических и юридических лиц</w:t>
      </w:r>
      <w:r>
        <w:rPr>
          <w:rFonts w:ascii="TimesNewRoman" w:hAnsi="TimesNewRoman"/>
          <w:sz w:val="22"/>
        </w:rPr>
      </w:r>
      <w:r>
        <w:rPr>
          <w:rFonts w:ascii="TimesNewRoman" w:hAnsi="TimesNewRoman"/>
          <w:sz w:val="22"/>
        </w:rPr>
      </w:r>
    </w:p>
    <w:p>
      <w:pPr>
        <w:pStyle w:val="916"/>
      </w:pPr>
      <w:r>
        <w:t xml:space="preserve">8.1. </w:t>
      </w:r>
      <w:r>
        <w:t xml:space="preserve">Покупателями государственного имущества могут быть лица, отвечающие признакам покупателя в соответстви</w:t>
      </w:r>
      <w:r>
        <w:t xml:space="preserve">и с Федеральным законом от 21 декабря 2001 г. № 178-ФЗ «О приватизации государственного и муниципального имущества» и желающие приобрести федеральное имущество, выставляемое на аукционе, своевременно подавшие Заявку, представившие надлежащим образом оформл</w:t>
      </w:r>
      <w:r>
        <w:t xml:space="preserve">енные документы и обеспечившие поступление задатка на счет, указанный в Информационном сообщении.</w:t>
      </w:r>
      <w:r/>
    </w:p>
    <w:p>
      <w:pPr>
        <w:pStyle w:val="916"/>
      </w:pPr>
      <w:r>
        <w:t xml:space="preserve">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w:t>
      </w:r>
      <w:r>
        <w:t xml:space="preserve">татьей 5 Федерального закона от 21 декабря 2001 г. № 178-ФЗ «О приватизации государственного и муниципального имущества» (далее – Закон):</w:t>
      </w:r>
      <w:r/>
    </w:p>
    <w:p>
      <w:pPr>
        <w:pStyle w:val="916"/>
      </w:pPr>
      <w:r>
        <w:t xml:space="preserve">- государственных и муниципальных унитарных предприятий, государственных и муниципальных учреждений;</w:t>
      </w:r>
      <w:r/>
    </w:p>
    <w:p>
      <w:pPr>
        <w:pStyle w:val="916"/>
      </w:pPr>
      <w:r>
        <w:t xml:space="preserve">- юридических лиц</w:t>
      </w:r>
      <w:r>
        <w:t xml:space="preserve">, в уставном </w:t>
      </w:r>
      <w:r>
        <w:t xml:space="preserve">капитале</w:t>
      </w:r>
      <w:r>
        <w:t xml:space="preserve">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p>
    <w:p>
      <w:pPr>
        <w:pStyle w:val="916"/>
      </w:pPr>
      <w:r>
        <w:t xml:space="preserve">- юридических лиц, местом регистрации которых являет</w:t>
      </w:r>
      <w:r>
        <w:t xml:space="preserve">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w:t>
      </w:r>
      <w:r>
        <w:t xml:space="preserve">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t xml:space="preserve">бенефициарных</w:t>
      </w:r>
      <w:r>
        <w:t xml:space="preserve"> владельцах и контролирующих лицах в порядке, установленном Правительством Российской</w:t>
      </w:r>
      <w:r>
        <w:t xml:space="preserve"> Федераци</w:t>
      </w:r>
      <w:r>
        <w:t xml:space="preserve">и.</w:t>
      </w:r>
      <w:r/>
    </w:p>
    <w:p>
      <w:pPr>
        <w:pStyle w:val="916"/>
      </w:pPr>
      <w:r/>
      <w:r/>
    </w:p>
    <w:p>
      <w:pPr>
        <w:pStyle w:val="976"/>
        <w:ind w:left="360" w:firstLine="0"/>
        <w:jc w:val="center"/>
        <w:rPr>
          <w:b/>
        </w:rPr>
      </w:pPr>
      <w:r>
        <w:rPr>
          <w:b/>
        </w:rPr>
        <w:t xml:space="preserve">9. Порядок внесения задатка и его возврата</w:t>
      </w:r>
      <w:r>
        <w:rPr>
          <w:b/>
        </w:rPr>
      </w:r>
      <w:r>
        <w:rPr>
          <w:b/>
        </w:rPr>
      </w:r>
    </w:p>
    <w:p>
      <w:pPr>
        <w:pStyle w:val="976"/>
        <w:ind w:left="0" w:firstLine="709"/>
        <w:rPr>
          <w:b/>
        </w:rPr>
      </w:pPr>
      <w:r>
        <w:rPr>
          <w:b/>
        </w:rPr>
        <w:t xml:space="preserve">9.1. Порядок внесения задатка</w:t>
      </w:r>
      <w:r>
        <w:rPr>
          <w:b/>
        </w:rPr>
      </w:r>
      <w:r>
        <w:rPr>
          <w:b/>
        </w:rPr>
      </w:r>
    </w:p>
    <w:p>
      <w:pPr>
        <w:pStyle w:val="976"/>
        <w:ind w:left="0" w:firstLine="709"/>
      </w:pPr>
      <w:r>
        <w:t xml:space="preserve">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w:t>
      </w:r>
      <w:r>
        <w:t xml:space="preserve">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p>
    <w:p>
      <w:pPr>
        <w:ind w:firstLine="709"/>
        <w:jc w:val="both"/>
        <w:tabs>
          <w:tab w:val="left" w:pos="284" w:leader="none"/>
        </w:tabs>
      </w:pPr>
      <w:r>
        <w:t xml:space="preserve">Задаток вносится в валюте Российской Федерации на счет Продавца: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012202102</w:t>
      </w:r>
      <w:r/>
    </w:p>
    <w:p>
      <w:pPr>
        <w:ind w:firstLine="709"/>
        <w:jc w:val="both"/>
        <w:tabs>
          <w:tab w:val="left" w:pos="0" w:leader="none"/>
          <w:tab w:val="left" w:pos="284" w:leader="none"/>
        </w:tabs>
      </w:pPr>
      <w:r>
        <w:t xml:space="preserve">Банковский счет, входящий в состав ЕКС: 40102810745370000024 </w:t>
      </w:r>
      <w:r/>
    </w:p>
    <w:p>
      <w:pPr>
        <w:ind w:firstLine="709"/>
        <w:jc w:val="both"/>
        <w:tabs>
          <w:tab w:val="left" w:pos="0" w:leader="none"/>
          <w:tab w:val="left" w:pos="284" w:leader="none"/>
        </w:tabs>
      </w:pPr>
      <w:r>
        <w:t xml:space="preserve">Банк получателя – ОКЦ № 1 ВВГУ Банка России//УФК по Нижегородской области, г. Нижний Новгород</w:t>
      </w:r>
      <w:r/>
    </w:p>
    <w:p>
      <w:pPr>
        <w:ind w:firstLine="709"/>
        <w:jc w:val="both"/>
        <w:tabs>
          <w:tab w:val="left" w:pos="0" w:leader="none"/>
          <w:tab w:val="left" w:pos="284" w:leader="none"/>
        </w:tabs>
      </w:pPr>
      <w:r>
        <w:t xml:space="preserve">Номер казначейского счета: 03212643000000013230</w:t>
      </w:r>
      <w:r/>
    </w:p>
    <w:p>
      <w:pPr>
        <w:ind w:firstLine="709"/>
        <w:jc w:val="both"/>
        <w:tabs>
          <w:tab w:val="left" w:pos="0" w:leader="none"/>
          <w:tab w:val="left" w:pos="284" w:leader="none"/>
        </w:tabs>
      </w:pPr>
      <w:r>
        <w:t xml:space="preserve">Получатель: ТУ </w:t>
      </w:r>
      <w:r>
        <w:t xml:space="preserve">Росимущества</w:t>
      </w:r>
      <w:r>
        <w:t xml:space="preserve"> в Ростовской области л/с 05581А21820</w:t>
      </w:r>
      <w:r/>
    </w:p>
    <w:p>
      <w:pPr>
        <w:ind w:firstLine="709"/>
        <w:jc w:val="both"/>
        <w:tabs>
          <w:tab w:val="left" w:pos="0" w:leader="none"/>
          <w:tab w:val="left" w:pos="284" w:leader="none"/>
        </w:tabs>
      </w:pPr>
      <w:r>
        <w:t xml:space="preserve">ОКТМО 60701000</w:t>
      </w:r>
      <w:r/>
    </w:p>
    <w:p>
      <w:pPr>
        <w:ind w:firstLine="709"/>
        <w:jc w:val="both"/>
        <w:tabs>
          <w:tab w:val="left" w:pos="284" w:leader="none"/>
        </w:tabs>
      </w:pPr>
      <w:r>
        <w:rPr>
          <w:b/>
          <w:u w:val="single"/>
        </w:rPr>
        <w:t xml:space="preserve">В поле «Код» платежного поручения необходимо указать код 0011</w:t>
      </w:r>
      <w:r>
        <w:t xml:space="preserve"> (код нормативного акта).</w:t>
      </w:r>
      <w:r/>
    </w:p>
    <w:p>
      <w:pPr>
        <w:ind w:firstLine="709"/>
        <w:jc w:val="both"/>
        <w:tabs>
          <w:tab w:val="left" w:pos="284" w:leader="none"/>
        </w:tabs>
        <w:rPr>
          <w:szCs w:val="24"/>
        </w:rPr>
      </w:pPr>
      <w:r>
        <w:rPr>
          <w:u w:val="single"/>
        </w:rPr>
        <w:t xml:space="preserve">Назначение платежа</w:t>
      </w:r>
      <w:r>
        <w:t xml:space="preserve">: задаток для </w:t>
      </w:r>
      <w:r>
        <w:rPr>
          <w:szCs w:val="24"/>
        </w:rPr>
        <w:t xml:space="preserve">участия в </w:t>
      </w:r>
      <w:r>
        <w:rPr>
          <w:szCs w:val="24"/>
        </w:rPr>
        <w:t xml:space="preserve">аукционе</w:t>
      </w:r>
      <w:r>
        <w:rPr>
          <w:szCs w:val="24"/>
        </w:rPr>
        <w:t xml:space="preserve"> по продаже</w:t>
      </w:r>
      <w:r>
        <w:rPr>
          <w:szCs w:val="24"/>
        </w:rPr>
        <w:t xml:space="preserve"> объектов недвижимого имущества по адресу: </w:t>
      </w:r>
      <w:r>
        <w:t xml:space="preserve">Ростовская область, г. Ростов-на-Дону, пер. Семашко, 113, помещение № 3,</w:t>
      </w:r>
      <w:r>
        <w:rPr>
          <w:szCs w:val="24"/>
        </w:rPr>
        <w:t xml:space="preserve"> лот № _________ </w:t>
      </w:r>
      <w:r>
        <w:rPr>
          <w:b/>
          <w:szCs w:val="24"/>
        </w:rPr>
        <w:t xml:space="preserve">без НДС.</w:t>
      </w:r>
      <w:r>
        <w:rPr>
          <w:szCs w:val="24"/>
        </w:rPr>
      </w:r>
      <w:r>
        <w:rPr>
          <w:szCs w:val="24"/>
        </w:rPr>
      </w:r>
    </w:p>
    <w:p>
      <w:pPr>
        <w:pStyle w:val="976"/>
        <w:ind w:left="0" w:firstLine="709"/>
        <w:rPr>
          <w:b/>
        </w:rPr>
      </w:pPr>
      <w:r>
        <w:t xml:space="preserve">9.</w:t>
      </w:r>
      <w:r>
        <w:t xml:space="preserve">1.2. </w:t>
      </w:r>
      <w:r>
        <w:rPr>
          <w:b/>
        </w:rPr>
        <w:t xml:space="preserve">Задаток вносится единым платежом.</w:t>
      </w:r>
      <w:r>
        <w:rPr>
          <w:b/>
        </w:rPr>
      </w:r>
      <w:r>
        <w:rPr>
          <w:b/>
        </w:rPr>
      </w:r>
    </w:p>
    <w:p>
      <w:pPr>
        <w:pStyle w:val="976"/>
        <w:ind w:left="0" w:firstLine="709"/>
      </w:pPr>
      <w:r>
        <w:t xml:space="preserve">9.1.3. Документом, подтверждающим поступление задатка на счет Продавца, является выписка с указанного лицевого счета.</w:t>
      </w:r>
      <w:r/>
    </w:p>
    <w:p>
      <w:pPr>
        <w:pStyle w:val="976"/>
        <w:numPr>
          <w:ilvl w:val="1"/>
          <w:numId w:val="4"/>
        </w:numPr>
        <w:tabs>
          <w:tab w:val="clear" w:pos="284" w:leader="none"/>
        </w:tabs>
        <w:rPr>
          <w:b/>
        </w:rPr>
      </w:pPr>
      <w:r>
        <w:rPr>
          <w:b/>
        </w:rPr>
        <w:t xml:space="preserve"> Порядок возврата задатка</w:t>
      </w:r>
      <w:r>
        <w:rPr>
          <w:b/>
        </w:rPr>
      </w:r>
      <w:r>
        <w:rPr>
          <w:b/>
        </w:rPr>
      </w:r>
    </w:p>
    <w:p>
      <w:pPr>
        <w:ind w:firstLine="709"/>
        <w:jc w:val="both"/>
        <w:rPr>
          <w:rFonts w:ascii="TimesNewRoman,Bold" w:hAnsi="TimesNewRoman,Bold"/>
        </w:rPr>
      </w:pPr>
      <w:r>
        <w:rPr>
          <w:rFonts w:ascii="TimesNewRoman,Bold" w:hAnsi="TimesNewRoman,Bold"/>
        </w:rPr>
        <w:t xml:space="preserve">9.2.1. Лицам, перечислившим задаток для участия в продаже федерального имущества на аукционе, денежные средства возвращаются в следующем порядке:</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а) участникам, за исключением победителя либо лица, признанного единственным участником аукциона - в течение 5</w:t>
      </w:r>
      <w:r>
        <w:rPr>
          <w:rFonts w:ascii="TimesNewRoman,Bold" w:hAnsi="TimesNewRoman,Bold"/>
        </w:rPr>
        <w:t xml:space="preserve"> (пяти) календарных дней со дня подведения итогов 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б) претендентам, не допущенным к участию в продаже имущества, - в течение </w:t>
      </w:r>
      <w:r>
        <w:rPr>
          <w:rFonts w:ascii="TimesNewRoman,Bold" w:hAnsi="TimesNewRoman,Bold"/>
        </w:rPr>
        <w:br/>
        <w:t xml:space="preserve">5 (пяти) календарных дней со дня подписания протокола о признании претендентов участниками.</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9.2.2. </w:t>
      </w:r>
      <w:r>
        <w:rPr>
          <w:rFonts w:ascii="TimesNewRoman,Bold" w:hAnsi="TimesNewRoman,Bold"/>
        </w:rPr>
        <w:t xml:space="preserve">Задаток побед</w:t>
      </w:r>
      <w:r>
        <w:rPr>
          <w:rFonts w:ascii="TimesNewRoman,Bold" w:hAnsi="TimesNewRoman,Bold"/>
        </w:rPr>
        <w:t xml:space="preserve">ителя продажи федерального имущества либо лица, признанного единственным участником аукциона, засчитывается в счет оплаты приобретаемого имущества, и подлежит перечислению в установленном порядке в федеральный бюджет в течение 5 (пяти) календарных дней со </w:t>
      </w:r>
      <w:r>
        <w:rPr>
          <w:rFonts w:ascii="TimesNewRoman,Bold" w:hAnsi="TimesNewRoman,Bold"/>
        </w:rPr>
        <w:t xml:space="preserve">дня истечения срока, установленного для заключения договора купли-продажи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9.2.3. При уклонении или отказе победителя либо лица, признанного единственным участником аукциона от заключения в установленный срок договора купли-продажи имущества резу</w:t>
      </w:r>
      <w:r>
        <w:rPr>
          <w:rFonts w:ascii="TimesNewRoman,Bold" w:hAnsi="TimesNewRoman,Bold"/>
        </w:rPr>
        <w:t xml:space="preserve">льтаты аукциона аннулируются продавцом, победитель утрачивает право на заключение указанного договора, задаток ему не возвращается.</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9.2.4. Ответственность покупателя в </w:t>
      </w:r>
      <w:r>
        <w:rPr>
          <w:rFonts w:ascii="TimesNewRoman,Bold" w:hAnsi="TimesNewRoman,Bold"/>
        </w:rPr>
        <w:t xml:space="preserve">случае</w:t>
      </w:r>
      <w:r>
        <w:rPr>
          <w:rFonts w:ascii="TimesNewRoman,Bold" w:hAnsi="TimesNewRoman,Bold"/>
        </w:rPr>
        <w:t xml:space="preserve"> его отказа или уклонения от оплаты имущества в установленные сроки предусматривае</w:t>
      </w:r>
      <w:r>
        <w:rPr>
          <w:rFonts w:ascii="TimesNewRoman,Bold" w:hAnsi="TimesNewRoman,Bold"/>
        </w:rPr>
        <w:t xml:space="preserve">тся в соответствии с </w:t>
      </w:r>
      <w:hyperlink r:id="rId14" w:tooltip="consultantplus://offline/ref=D54B536E147478390F4E00EB7DDC3F85EBB1AC050E3F505E03D970FC37B84872C1BD5795E2D383C8K856P" w:history="1">
        <w:r>
          <w:rPr>
            <w:rFonts w:ascii="TimesNewRoman,Bold" w:hAnsi="TimesNewRoman,Bold"/>
          </w:rPr>
          <w:t xml:space="preserve">законодательством</w:t>
        </w:r>
      </w:hyperlink>
      <w:r>
        <w:rPr>
          <w:rFonts w:ascii="TimesNewRoman,Bold" w:hAnsi="TimesNewRoman,Bold"/>
        </w:rPr>
        <w:t xml:space="preserve"> Российской Федерации в договоре купли-продажи имущества, задаток ему не возвращается.</w:t>
      </w:r>
      <w:r>
        <w:rPr>
          <w:rFonts w:ascii="TimesNewRoman,Bold" w:hAnsi="TimesNewRoman,Bold"/>
        </w:rPr>
      </w:r>
      <w:r>
        <w:rPr>
          <w:rFonts w:ascii="TimesNewRoman,Bold" w:hAnsi="TimesNewRoman,Bold"/>
        </w:rPr>
      </w:r>
    </w:p>
    <w:p>
      <w:pPr>
        <w:ind w:firstLine="709"/>
        <w:jc w:val="both"/>
      </w:pPr>
      <w:r>
        <w:t xml:space="preserve">9.2.5. В случае отзыва претендентом заявки, поступивший задаток подлежит возврату в течение 5 (пяти) календарных дней со дня поступления</w:t>
      </w:r>
      <w:r>
        <w:t xml:space="preserve"> уведомления об отзыве заявки. </w:t>
      </w:r>
      <w:r/>
    </w:p>
    <w:p>
      <w:pPr>
        <w:ind w:firstLine="709"/>
        <w:jc w:val="both"/>
      </w:pPr>
      <w:r>
        <w:t xml:space="preserve">9.2.6.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r/>
    </w:p>
    <w:p>
      <w:pPr>
        <w:ind w:firstLine="851"/>
        <w:jc w:val="both"/>
      </w:pPr>
      <w:r/>
      <w:r/>
    </w:p>
    <w:p>
      <w:pPr>
        <w:pStyle w:val="916"/>
        <w:numPr>
          <w:ilvl w:val="0"/>
          <w:numId w:val="4"/>
        </w:numPr>
        <w:jc w:val="center"/>
        <w:rPr>
          <w:b/>
        </w:rPr>
      </w:pPr>
      <w:r>
        <w:rPr>
          <w:b/>
        </w:rPr>
        <w:t xml:space="preserve">Порядок ознакомления со сведениями об Имуществе, </w:t>
      </w:r>
      <w:r>
        <w:rPr>
          <w:b/>
        </w:rPr>
        <w:br/>
        <w:t xml:space="preserve">выставляемом на аукционе</w:t>
      </w:r>
      <w:r>
        <w:rPr>
          <w:b/>
        </w:rPr>
      </w:r>
      <w:r>
        <w:rPr>
          <w:b/>
        </w:rPr>
      </w:r>
    </w:p>
    <w:p>
      <w:pPr>
        <w:ind w:firstLine="709"/>
        <w:jc w:val="both"/>
      </w:pPr>
      <w:r>
        <w:t xml:space="preserve">10.1. Информация о проведен</w:t>
      </w:r>
      <w:r>
        <w:t xml:space="preserve">ии ау</w:t>
      </w:r>
      <w:r>
        <w:t xml:space="preserve">кциона по продаже имущества размещается на</w:t>
      </w:r>
      <w:r>
        <w:br/>
        <w:t xml:space="preserve"> официальном сайте Российской Федерации в сети «Интернет» </w:t>
      </w:r>
      <w:hyperlink r:id="rId15" w:tooltip="https://torgi.gov.ru" w:history="1">
        <w:r>
          <w:rPr>
            <w:rStyle w:val="961"/>
          </w:rPr>
          <w:t xml:space="preserve">https://torgi.gov.ru</w:t>
        </w:r>
      </w:hyperlink>
      <w:r>
        <w:rPr>
          <w:rStyle w:val="961"/>
        </w:rPr>
        <w:t xml:space="preserve"> (новая </w:t>
      </w:r>
      <w:r>
        <w:rPr>
          <w:rStyle w:val="961"/>
        </w:rPr>
        <w:t xml:space="preserve">версия)</w:t>
      </w:r>
      <w:r>
        <w:t xml:space="preserve">, на сайте Продавца в сети «Интернет» </w:t>
      </w:r>
      <w:hyperlink r:id="rId16" w:tooltip="http://tu61.gov.rosim.ru/" w:history="1">
        <w:r>
          <w:rPr>
            <w:rStyle w:val="961"/>
          </w:rPr>
          <w:t xml:space="preserve">http://tu61.gov.rosim.ru/</w:t>
        </w:r>
      </w:hyperlink>
      <w:r>
        <w:t xml:space="preserve"> и на сайте электронной площадки (п. 3.3 настоящего Информационного со</w:t>
      </w:r>
      <w:r>
        <w:t xml:space="preserve">общения) и содержит следующее: </w:t>
      </w:r>
      <w:r/>
    </w:p>
    <w:p>
      <w:pPr>
        <w:ind w:firstLine="709"/>
        <w:jc w:val="both"/>
      </w:pPr>
      <w:r>
        <w:t xml:space="preserve">а) информационное сообщение о проведении продажи имущества;</w:t>
      </w:r>
      <w:r/>
    </w:p>
    <w:p>
      <w:pPr>
        <w:ind w:firstLine="709"/>
        <w:jc w:val="both"/>
      </w:pPr>
      <w:r>
        <w:t xml:space="preserve">б) форма заявки (приложение № 1);</w:t>
      </w:r>
      <w:r/>
    </w:p>
    <w:p>
      <w:pPr>
        <w:ind w:firstLine="709"/>
        <w:jc w:val="both"/>
      </w:pPr>
      <w:r>
        <w:t xml:space="preserve">в) проект договора купли-продажи имущества (приложение № 2);</w:t>
      </w:r>
      <w:r/>
    </w:p>
    <w:p>
      <w:pPr>
        <w:ind w:firstLine="709"/>
        <w:jc w:val="both"/>
      </w:pPr>
      <w:r>
        <w:t xml:space="preserve">г) иные сведения, предусмотренные Федеральным законом от 21 декабря 2</w:t>
      </w:r>
      <w:r>
        <w:t xml:space="preserve">001 г. </w:t>
      </w:r>
      <w:r>
        <w:br/>
        <w:t xml:space="preserve">№ 178-ФЗ «О приватизации государственного и муниципального имущества».</w:t>
      </w:r>
      <w:r/>
    </w:p>
    <w:p>
      <w:pPr>
        <w:ind w:firstLine="709"/>
        <w:jc w:val="both"/>
      </w:pPr>
      <w:r>
        <w:t xml:space="preserve">10.2. </w:t>
      </w:r>
      <w:r>
        <w:t xml:space="preserve">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w:t>
      </w:r>
      <w:r>
        <w:t xml:space="preserve">ьном сайте в сети «Интернет» </w:t>
      </w:r>
      <w:hyperlink r:id="rId17" w:tooltip="http://tu61.rosim.gov.ru/" w:history="1">
        <w:r>
          <w:rPr>
            <w:rStyle w:val="961"/>
          </w:rPr>
          <w:t xml:space="preserve">http://tu61.rosim.gov.ru/</w:t>
        </w:r>
      </w:hyperlink>
      <w:r>
        <w:t xml:space="preserve">, официальном сайте Российской Федерации в сети «Интернет» </w:t>
      </w:r>
      <w:hyperlink r:id="rId18" w:tooltip="https://torgi.gov.ru" w:history="1">
        <w:r>
          <w:rPr>
            <w:rStyle w:val="961"/>
          </w:rPr>
          <w:t xml:space="preserve">https:/</w:t>
        </w:r>
        <w:r>
          <w:rPr>
            <w:rStyle w:val="961"/>
          </w:rPr>
          <w:t xml:space="preserve">/torgi.gov.ru</w:t>
        </w:r>
      </w:hyperlink>
      <w:r>
        <w:rPr>
          <w:rStyle w:val="961"/>
        </w:rPr>
        <w:t xml:space="preserve"> (новая версия)</w:t>
      </w:r>
      <w:r>
        <w:t xml:space="preserve">, на сайте в сети «Интернет» Организатора (электронная площадка) и по телефону: 8(863) 244-14-88.</w:t>
      </w:r>
      <w:r/>
    </w:p>
    <w:p>
      <w:pPr>
        <w:ind w:firstLine="709"/>
        <w:jc w:val="both"/>
      </w:pPr>
      <w:r>
        <w:t xml:space="preserve">10.3. Любое лицо независимо от регистрации на электронной площадке вправе направить на электронный адрес Организатора, указанный в</w:t>
      </w:r>
      <w:r>
        <w:t xml:space="preserve"> информационном сообщении о проведении продажи имущества, запрос о разъяснении размещенной информации.</w:t>
      </w:r>
      <w:r/>
    </w:p>
    <w:p>
      <w:pPr>
        <w:ind w:firstLine="709"/>
        <w:jc w:val="both"/>
      </w:pPr>
      <w:r>
        <w:t xml:space="preserve">Такой запрос в </w:t>
      </w:r>
      <w:r>
        <w:t xml:space="preserve">режиме</w:t>
      </w:r>
      <w:r>
        <w:t xml:space="preserve"> реального времени направляется в «личный кабинет» Продавца для рассмотрения при условии, что запрос поступил продавцу не позднее 5 </w:t>
      </w:r>
      <w:r>
        <w:t xml:space="preserve">(пяти) рабочих дней до окончания подачи заявок.</w:t>
      </w:r>
      <w:r/>
    </w:p>
    <w:p>
      <w:pPr>
        <w:ind w:firstLine="709"/>
        <w:jc w:val="both"/>
      </w:pPr>
      <w:r>
        <w:t xml:space="preserve">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w:t>
      </w:r>
      <w:r>
        <w:t xml:space="preserve">тупил запрос.</w:t>
      </w:r>
      <w:r/>
    </w:p>
    <w:p>
      <w:pPr>
        <w:ind w:firstLine="709"/>
        <w:jc w:val="both"/>
      </w:pPr>
      <w:r>
        <w:t xml:space="preserve">В случае направления запроса иностранными лицами такой запрос должен иметь перевод на русский язык.</w:t>
      </w:r>
      <w:r/>
    </w:p>
    <w:p>
      <w:pPr>
        <w:ind w:firstLine="709"/>
        <w:jc w:val="both"/>
      </w:pPr>
      <w:r>
        <w:t xml:space="preserve">10.4. С дополнительной информацией о приватизируемом имуществе можно ознакомиться по телефону: 8(863)244-14-88 и по адресу электронной почты: </w:t>
      </w:r>
      <w:r>
        <w:t xml:space="preserve">tu61@rosim.gov.ru</w:t>
      </w:r>
      <w:r/>
    </w:p>
    <w:p>
      <w:pPr>
        <w:ind w:firstLine="709"/>
        <w:jc w:val="both"/>
      </w:pPr>
      <w:r/>
      <w:r/>
    </w:p>
    <w:p>
      <w:pPr>
        <w:pStyle w:val="916"/>
        <w:ind w:left="851" w:firstLine="0"/>
        <w:jc w:val="center"/>
        <w:rPr>
          <w:b/>
        </w:rPr>
      </w:pPr>
      <w:r>
        <w:rPr>
          <w:b/>
        </w:rPr>
        <w:t xml:space="preserve">11. Порядок определения участников аукциона</w:t>
      </w:r>
      <w:r>
        <w:rPr>
          <w:b/>
        </w:rPr>
      </w:r>
      <w:r>
        <w:rPr>
          <w:b/>
        </w:rPr>
      </w:r>
    </w:p>
    <w:p>
      <w:pPr>
        <w:ind w:firstLine="709"/>
        <w:jc w:val="both"/>
        <w:tabs>
          <w:tab w:val="left" w:pos="540" w:leader="none"/>
        </w:tabs>
        <w:outlineLvl w:val="0"/>
      </w:pPr>
      <w:r>
        <w:t xml:space="preserve">11.1. В день определения участников аукциона, указанный в информационном </w:t>
      </w:r>
      <w:r>
        <w:t xml:space="preserve">сообщении</w:t>
      </w:r>
      <w:r>
        <w:t xml:space="preserve">, Организатор через «личный кабинет» продавца обеспечивает доступ продавца к поданным Претендентами заявкам и д</w:t>
      </w:r>
      <w:r>
        <w:t xml:space="preserve">окументам, а также к журналу приема заявок.</w:t>
      </w:r>
      <w:r/>
    </w:p>
    <w:p>
      <w:pPr>
        <w:ind w:firstLine="709"/>
        <w:jc w:val="both"/>
        <w:tabs>
          <w:tab w:val="left" w:pos="540" w:leader="none"/>
        </w:tabs>
        <w:outlineLvl w:val="0"/>
      </w:pPr>
      <w:r>
        <w:t xml:space="preserve">11.2. </w:t>
      </w:r>
      <w:r>
        <w:t xml:space="preserve">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w:t>
      </w:r>
      <w:r>
        <w:t xml:space="preserve">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w:t>
      </w:r>
      <w:r>
        <w:t xml:space="preserve">такого отказа.</w:t>
      </w:r>
      <w:r/>
    </w:p>
    <w:p>
      <w:pPr>
        <w:ind w:firstLine="709"/>
        <w:jc w:val="both"/>
        <w:tabs>
          <w:tab w:val="left" w:pos="540" w:leader="none"/>
        </w:tabs>
        <w:outlineLvl w:val="0"/>
      </w:pPr>
      <w:r>
        <w:t xml:space="preserve">11.3.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w:t>
      </w:r>
      <w:r>
        <w:t xml:space="preserve">ми аукциона с указанием оснований отказа. </w:t>
      </w:r>
      <w:r/>
    </w:p>
    <w:p>
      <w:pPr>
        <w:ind w:firstLine="709"/>
        <w:jc w:val="both"/>
        <w:tabs>
          <w:tab w:val="left" w:pos="540" w:leader="none"/>
        </w:tabs>
        <w:outlineLvl w:val="0"/>
      </w:pPr>
      <w:r>
        <w:t xml:space="preserve">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w:t>
      </w:r>
      <w:r>
        <w:t xml:space="preserve">нном Правительством Российской Федерации, а также на сайте Продавца в сети «Интернет».</w:t>
      </w:r>
      <w:r/>
    </w:p>
    <w:p>
      <w:pPr>
        <w:ind w:firstLine="709"/>
        <w:jc w:val="both"/>
        <w:tabs>
          <w:tab w:val="left" w:pos="540" w:leader="none"/>
        </w:tabs>
        <w:outlineLvl w:val="0"/>
      </w:pPr>
      <w:r>
        <w:t xml:space="preserve">11.5. Претендент приобретает статус участника аукциона с момента подписания протокола о признании претендентов участниками аукциона.</w:t>
      </w:r>
      <w:r/>
    </w:p>
    <w:p>
      <w:pPr>
        <w:ind w:firstLine="709"/>
        <w:jc w:val="both"/>
        <w:tabs>
          <w:tab w:val="left" w:pos="540" w:leader="none"/>
        </w:tabs>
        <w:outlineLvl w:val="0"/>
      </w:pPr>
      <w:r>
        <w:t xml:space="preserve">11.6. Претендент не допускается к уч</w:t>
      </w:r>
      <w:r>
        <w:t xml:space="preserve">астию в </w:t>
      </w:r>
      <w:r>
        <w:t xml:space="preserve">аукционе</w:t>
      </w:r>
      <w:r>
        <w:t xml:space="preserve"> по следующим основаниям:</w:t>
      </w:r>
      <w:r/>
    </w:p>
    <w:p>
      <w:pPr>
        <w:ind w:firstLine="709"/>
        <w:jc w:val="both"/>
        <w:tabs>
          <w:tab w:val="left" w:pos="540" w:leader="none"/>
        </w:tabs>
        <w:outlineLvl w:val="0"/>
      </w:pPr>
      <w:r>
        <w:t xml:space="preserve">а) представленные документы не подтверждают право Претендента быть покупателем имущества в </w:t>
      </w:r>
      <w:r>
        <w:t xml:space="preserve">соответствии</w:t>
      </w:r>
      <w:r>
        <w:t xml:space="preserve"> с законодательством Российской Федерации.</w:t>
      </w:r>
      <w:r/>
    </w:p>
    <w:p>
      <w:pPr>
        <w:ind w:firstLine="709"/>
        <w:jc w:val="both"/>
        <w:tabs>
          <w:tab w:val="left" w:pos="540" w:leader="none"/>
        </w:tabs>
        <w:outlineLvl w:val="0"/>
      </w:pPr>
      <w:r>
        <w:t xml:space="preserve">б) представлены не все документы в </w:t>
      </w:r>
      <w:r>
        <w:t xml:space="preserve">соответствии</w:t>
      </w:r>
      <w:r>
        <w:t xml:space="preserve"> с перечнем, указанны</w:t>
      </w:r>
      <w:r>
        <w:t xml:space="preserve">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r/>
    </w:p>
    <w:p>
      <w:pPr>
        <w:ind w:firstLine="709"/>
        <w:jc w:val="both"/>
        <w:tabs>
          <w:tab w:val="left" w:pos="540" w:leader="none"/>
        </w:tabs>
        <w:outlineLvl w:val="0"/>
      </w:pPr>
      <w:r>
        <w:t xml:space="preserve">в) не подтверждено поступление в установленный срок задатка на счет Организатора, указанный в информационно</w:t>
      </w:r>
      <w:r>
        <w:t xml:space="preserve">м </w:t>
      </w:r>
      <w:r>
        <w:t xml:space="preserve">сообщении</w:t>
      </w:r>
      <w:r>
        <w:t xml:space="preserve">.</w:t>
      </w:r>
      <w:r/>
    </w:p>
    <w:p>
      <w:pPr>
        <w:ind w:firstLine="709"/>
        <w:jc w:val="both"/>
        <w:tabs>
          <w:tab w:val="left" w:pos="540" w:leader="none"/>
        </w:tabs>
        <w:outlineLvl w:val="0"/>
      </w:pPr>
      <w:r>
        <w:t xml:space="preserve">г) заявка подана лицом, не уполномоченным Претендентом на осуществление таких действий.</w:t>
      </w:r>
      <w:r/>
    </w:p>
    <w:p>
      <w:pPr>
        <w:ind w:firstLine="709"/>
        <w:jc w:val="both"/>
        <w:tabs>
          <w:tab w:val="left" w:pos="540" w:leader="none"/>
        </w:tabs>
        <w:outlineLvl w:val="0"/>
      </w:pPr>
      <w:r>
        <w:t xml:space="preserve">11.7.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r/>
    </w:p>
    <w:p>
      <w:pPr>
        <w:ind w:firstLine="709"/>
        <w:jc w:val="both"/>
        <w:tabs>
          <w:tab w:val="left" w:pos="540" w:leader="none"/>
        </w:tabs>
        <w:outlineLvl w:val="0"/>
      </w:pPr>
      <w:r/>
      <w:r/>
    </w:p>
    <w:p>
      <w:pPr>
        <w:pStyle w:val="929"/>
        <w:ind w:left="0" w:firstLine="851"/>
        <w:jc w:val="center"/>
        <w:spacing w:after="0"/>
        <w:rPr>
          <w:b/>
        </w:rPr>
      </w:pPr>
      <w:r>
        <w:rPr>
          <w:rFonts w:ascii="Times New Roman" w:hAnsi="Times New Roman"/>
          <w:b/>
          <w:sz w:val="24"/>
        </w:rPr>
        <w:t xml:space="preserve">12. Порядок проведения аукциона и оп</w:t>
      </w:r>
      <w:r>
        <w:rPr>
          <w:rFonts w:ascii="Times New Roman" w:hAnsi="Times New Roman"/>
          <w:b/>
          <w:sz w:val="24"/>
        </w:rPr>
        <w:t xml:space="preserve">ределения победителя</w:t>
      </w:r>
      <w:r>
        <w:rPr>
          <w:b/>
        </w:rPr>
      </w:r>
      <w:r>
        <w:rPr>
          <w:b/>
        </w:rPr>
      </w:r>
    </w:p>
    <w:p>
      <w:pPr>
        <w:ind w:firstLine="709"/>
        <w:jc w:val="both"/>
      </w:pPr>
      <w:r>
        <w:t xml:space="preserve">12.1. Процедура аукциона проводится в день и время, указанные в информационном </w:t>
      </w:r>
      <w:r>
        <w:t xml:space="preserve">сообщении</w:t>
      </w:r>
      <w:r>
        <w:t xml:space="preserve"> о проведении аукциона, путем последовательного повышения участниками начальной цены продажи на величину, равную либо кратную величине «шага аукцио</w:t>
      </w:r>
      <w:r>
        <w:t xml:space="preserve">на».</w:t>
      </w:r>
      <w:r/>
    </w:p>
    <w:p>
      <w:pPr>
        <w:ind w:firstLine="709"/>
        <w:jc w:val="both"/>
      </w:pPr>
      <w:r>
        <w:t xml:space="preserve">«Шаг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r/>
    </w:p>
    <w:p>
      <w:pPr>
        <w:ind w:firstLine="709"/>
        <w:jc w:val="both"/>
      </w:pPr>
      <w:r>
        <w:t xml:space="preserve">12.2. Во время проведения процедуры аукциона организатор обеспечивает доступ уча</w:t>
      </w:r>
      <w:r>
        <w:t xml:space="preserve">стников к закрытой части электронной площадки и возможность представления ими предложений о цене имущества.</w:t>
      </w:r>
      <w:r/>
    </w:p>
    <w:p>
      <w:pPr>
        <w:ind w:firstLine="709"/>
        <w:jc w:val="both"/>
      </w:pPr>
      <w:r>
        <w:t xml:space="preserve">12.3. Со времени начала проведения процедуры аукциона организатором размещается:</w:t>
      </w:r>
      <w:r/>
    </w:p>
    <w:p>
      <w:pPr>
        <w:ind w:firstLine="709"/>
        <w:jc w:val="both"/>
      </w:pPr>
      <w:r>
        <w:t xml:space="preserve">а) в открытой части электронной площадки - информация о начале пров</w:t>
      </w:r>
      <w:r>
        <w:t xml:space="preserve">едения процедуры аукциона с указанием наименования имущества, начальной цены и текущего «шага аукциона»;</w:t>
      </w:r>
      <w:r/>
    </w:p>
    <w:p>
      <w:pPr>
        <w:ind w:firstLine="709"/>
        <w:jc w:val="both"/>
      </w:pPr>
      <w:r>
        <w:t xml:space="preserve">б) в закрытой части электронной площадки - помимо информации, указанной в открытой части электронной площадки, также предложения о цене имущества и вре</w:t>
      </w:r>
      <w:r>
        <w:t xml:space="preserve">мя их поступления, величина повышения начальной цены («шаг аукциона»), время, оставшееся до окончания приема предложений о цене имущества.</w:t>
      </w:r>
      <w:r/>
    </w:p>
    <w:p>
      <w:pPr>
        <w:ind w:firstLine="709"/>
        <w:jc w:val="both"/>
      </w:pPr>
      <w:r>
        <w:t xml:space="preserve">12.4. В течение одного часа со времени начала проведения процедуры аукциона участникам предлагается заявить о приобре</w:t>
      </w:r>
      <w:r>
        <w:t xml:space="preserve">тении имущества по начальной цене. В случае если в течение указанного времени:</w:t>
      </w:r>
      <w:r/>
    </w:p>
    <w:p>
      <w:pPr>
        <w:ind w:firstLine="709"/>
        <w:jc w:val="both"/>
      </w:pPr>
      <w: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w:t>
      </w:r>
      <w:r>
        <w:t xml:space="preserve">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r/>
    </w:p>
    <w:p>
      <w:pPr>
        <w:ind w:firstLine="709"/>
        <w:jc w:val="both"/>
      </w:pPr>
      <w:r>
        <w:t xml:space="preserve">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w:t>
      </w:r>
      <w:r>
        <w:t xml:space="preserve">кциона.</w:t>
      </w:r>
      <w:r/>
    </w:p>
    <w:p>
      <w:pPr>
        <w:ind w:firstLine="709"/>
        <w:jc w:val="both"/>
      </w:pPr>
      <w:r>
        <w:t xml:space="preserve">12.5. При этом программными средствами электронной площадки обеспечивается:</w:t>
      </w:r>
      <w:r/>
    </w:p>
    <w:p>
      <w:pPr>
        <w:ind w:firstLine="709"/>
        <w:jc w:val="both"/>
      </w:pPr>
      <w:r>
        <w:t xml:space="preserve">а) исключение возможности подачи участником предложения о цене имущества, не соответствующего увеличению текущей цены на величину «шага аукциона»;</w:t>
      </w:r>
      <w:r/>
    </w:p>
    <w:p>
      <w:pPr>
        <w:ind w:firstLine="709"/>
        <w:jc w:val="both"/>
      </w:pPr>
      <w:r>
        <w:t xml:space="preserve">б) уведомление участника </w:t>
      </w:r>
      <w:r>
        <w:t xml:space="preserve">в </w:t>
      </w:r>
      <w:r>
        <w:t xml:space="preserve">случае</w:t>
      </w:r>
      <w:r>
        <w:t xml:space="preserve">, если предложение этого участника о цене имущества не может быть принято в связи с подачей аналогичного предложения ранее другим участником.</w:t>
      </w:r>
      <w:r/>
    </w:p>
    <w:p>
      <w:pPr>
        <w:ind w:firstLine="709"/>
        <w:jc w:val="both"/>
      </w:pPr>
      <w:r>
        <w:t xml:space="preserve">12.6. Победителем признается участник, предложивший наиболее высокую цену имущества. По итогам торгов с по</w:t>
      </w:r>
      <w:r>
        <w:t xml:space="preserve">бедителем аукциона заключается договор.</w:t>
      </w:r>
      <w:r/>
    </w:p>
    <w:p>
      <w:pPr>
        <w:ind w:firstLine="709"/>
        <w:jc w:val="both"/>
      </w:pPr>
      <w:r>
        <w:rPr>
          <w:szCs w:val="24"/>
        </w:rPr>
        <w:t xml:space="preserve">12.7. В случае</w:t>
      </w:r>
      <w:r>
        <w:rPr>
          <w:szCs w:val="24"/>
        </w:rPr>
        <w:t xml:space="preserve">,</w:t>
      </w:r>
      <w:r>
        <w:rPr>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r/>
    </w:p>
    <w:p>
      <w:pPr>
        <w:ind w:firstLine="709"/>
        <w:jc w:val="both"/>
      </w:pPr>
      <w:r>
        <w:t xml:space="preserve">12.8. Хо</w:t>
      </w:r>
      <w:r>
        <w:t xml:space="preserve">д проведения процедуры аукциона фиксируется организатором в электронном </w:t>
      </w:r>
      <w:r>
        <w:t xml:space="preserve">журнале</w:t>
      </w:r>
      <w:r>
        <w:t xml:space="preserve">,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w:t>
      </w:r>
      <w:r>
        <w:t xml:space="preserve">ах аукциона.</w:t>
      </w:r>
      <w:r/>
    </w:p>
    <w:p>
      <w:pPr>
        <w:ind w:firstLine="709"/>
        <w:jc w:val="both"/>
        <w:rPr>
          <w:szCs w:val="24"/>
        </w:rPr>
      </w:pPr>
      <w:r>
        <w:t xml:space="preserve">12.9. </w:t>
      </w:r>
      <w:r>
        <w:rPr>
          <w:szCs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w:t>
      </w:r>
      <w:r>
        <w:rPr>
          <w:szCs w:val="24"/>
        </w:rPr>
        <w:t xml:space="preserve">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w:t>
      </w:r>
      <w:r>
        <w:rPr>
          <w:szCs w:val="24"/>
        </w:rPr>
        <w:t xml:space="preserve">или наименование юридического</w:t>
      </w:r>
      <w:r>
        <w:rPr>
          <w:szCs w:val="24"/>
        </w:rPr>
        <w:t xml:space="preserve"> </w:t>
      </w:r>
      <w:r>
        <w:rPr>
          <w:szCs w:val="24"/>
        </w:rPr>
        <w:t xml:space="preserve">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w:t>
      </w:r>
      <w:r>
        <w:rPr>
          <w:szCs w:val="24"/>
        </w:rPr>
        <w:t xml:space="preserve">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r>
        <w:rPr>
          <w:szCs w:val="24"/>
        </w:rPr>
        <w:t xml:space="preserve"> за днем подведения итогов аукциона, в </w:t>
      </w:r>
      <w:r>
        <w:rPr>
          <w:szCs w:val="24"/>
        </w:rPr>
        <w:t xml:space="preserve">сл</w:t>
      </w:r>
      <w:r>
        <w:rPr>
          <w:szCs w:val="24"/>
        </w:rPr>
        <w:t xml:space="preserve">учае</w:t>
      </w:r>
      <w:r>
        <w:rPr>
          <w:szCs w:val="24"/>
        </w:rPr>
        <w:t xml:space="preserve"> если Заявку на участие в аукционе подало только одно лицо, признанное единственным участником аукциона.</w:t>
      </w:r>
      <w:r>
        <w:rPr>
          <w:szCs w:val="24"/>
        </w:rPr>
      </w:r>
      <w:r>
        <w:rPr>
          <w:szCs w:val="24"/>
        </w:rPr>
      </w:r>
    </w:p>
    <w:p>
      <w:pPr>
        <w:ind w:firstLine="709"/>
        <w:jc w:val="both"/>
      </w:pPr>
      <w:r>
        <w:t xml:space="preserve">12.10. Процедура аукциона считается завершенной со времени подписания продавцом протокола об итогах аукциона.</w:t>
      </w:r>
      <w:r/>
    </w:p>
    <w:p>
      <w:pPr>
        <w:ind w:firstLine="709"/>
        <w:jc w:val="both"/>
      </w:pPr>
      <w:r>
        <w:t xml:space="preserve">12.11. Аукцион признается </w:t>
      </w:r>
      <w:r>
        <w:t xml:space="preserve">несостоявши</w:t>
      </w:r>
      <w:r>
        <w:t xml:space="preserve">мся</w:t>
      </w:r>
      <w:r>
        <w:t xml:space="preserve"> в следующих случаях:</w:t>
      </w:r>
      <w:r/>
    </w:p>
    <w:p>
      <w:pPr>
        <w:ind w:firstLine="709"/>
        <w:jc w:val="both"/>
      </w:pPr>
      <w:r>
        <w:t xml:space="preserve">а) не было подано ни одной заявки на участие либо ни один из претендентов не признан участником;</w:t>
      </w:r>
      <w:r/>
    </w:p>
    <w:p>
      <w:pPr>
        <w:ind w:firstLine="709"/>
        <w:jc w:val="both"/>
      </w:pPr>
      <w:r>
        <w:t xml:space="preserve">б) принято решение о признании только одного претендента участником;</w:t>
      </w:r>
      <w:r/>
    </w:p>
    <w:p>
      <w:pPr>
        <w:ind w:firstLine="709"/>
        <w:jc w:val="both"/>
      </w:pPr>
      <w:r>
        <w:t xml:space="preserve">в) ни один из участников не сделал предложение о начальной цене и</w:t>
      </w:r>
      <w:r>
        <w:t xml:space="preserve">мущества;</w:t>
      </w:r>
      <w:r/>
    </w:p>
    <w:p>
      <w:pPr>
        <w:ind w:firstLine="709"/>
        <w:jc w:val="both"/>
      </w:pPr>
      <w:r>
        <w:t xml:space="preserve">г) лицо, признанное единственным участником аукциона, отказался от заключения договора.</w:t>
      </w:r>
      <w:r/>
    </w:p>
    <w:p>
      <w:pPr>
        <w:ind w:firstLine="709"/>
        <w:jc w:val="both"/>
      </w:pPr>
      <w:r>
        <w:t xml:space="preserve">12.12. Решение о признан</w:t>
      </w:r>
      <w:r>
        <w:t xml:space="preserve">ии ау</w:t>
      </w:r>
      <w:r>
        <w:t xml:space="preserve">кциона несостоявшимся оформляется протоколом.</w:t>
      </w:r>
      <w:r/>
    </w:p>
    <w:p>
      <w:pPr>
        <w:ind w:firstLine="709"/>
        <w:jc w:val="both"/>
      </w:pPr>
      <w:r>
        <w:t xml:space="preserve">12.13. В течение одного часа со времени подписания прот</w:t>
      </w:r>
      <w:r>
        <w:t xml:space="preserve">окола об итогах аукциона победителю либо лицу, признанному единственным участником аукциона,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r/>
    </w:p>
    <w:p>
      <w:pPr>
        <w:ind w:firstLine="709"/>
        <w:jc w:val="both"/>
      </w:pPr>
      <w:r>
        <w:t xml:space="preserve">а) наименование имущества и иные позволяющие его индивидуализировать сведения (спецификация лота);</w:t>
      </w:r>
      <w:r/>
    </w:p>
    <w:p>
      <w:pPr>
        <w:ind w:firstLine="709"/>
        <w:jc w:val="both"/>
      </w:pPr>
      <w:r>
        <w:t xml:space="preserve">б) цена сделки;</w:t>
      </w:r>
      <w:r/>
    </w:p>
    <w:p>
      <w:pPr>
        <w:ind w:firstLine="709"/>
        <w:jc w:val="both"/>
      </w:pPr>
      <w:r>
        <w:t xml:space="preserve">в) фамилия, имя, отчество физического лица или наименование юридического лица - победителя.</w:t>
      </w:r>
      <w:r/>
    </w:p>
    <w:p>
      <w:pPr>
        <w:jc w:val="both"/>
      </w:pPr>
      <w:r/>
      <w:r/>
    </w:p>
    <w:p>
      <w:pPr>
        <w:pStyle w:val="976"/>
        <w:ind w:left="0" w:firstLine="851"/>
        <w:jc w:val="center"/>
        <w:tabs>
          <w:tab w:val="left" w:pos="0" w:leader="none"/>
          <w:tab w:val="clear" w:pos="284" w:leader="none"/>
        </w:tabs>
        <w:rPr>
          <w:b/>
        </w:rPr>
      </w:pPr>
      <w:r>
        <w:rPr>
          <w:b/>
        </w:rPr>
        <w:t xml:space="preserve">13. Заключение договора купли продажи имущества</w:t>
      </w:r>
      <w:r>
        <w:rPr>
          <w:b/>
        </w:rPr>
      </w:r>
      <w:r>
        <w:rPr>
          <w:b/>
        </w:rPr>
      </w:r>
    </w:p>
    <w:p>
      <w:pPr>
        <w:ind w:firstLine="709"/>
        <w:jc w:val="both"/>
        <w:rPr>
          <w:highlight w:val="none"/>
        </w:rPr>
      </w:pPr>
      <w:r>
        <w:t xml:space="preserve">13.1. Договор купли-продажи имущества заключается между продавцом и победителем аукциона в установленном законодательством </w:t>
      </w:r>
      <w:r>
        <w:t xml:space="preserve">порядке</w:t>
      </w:r>
      <w:r>
        <w:t xml:space="preserve"> в течение 5 (пяти) рабочих дней с даты подведения итогов аукциона в форме электронного документа. </w:t>
      </w:r>
      <w:r>
        <w:rPr>
          <w:highlight w:val="none"/>
        </w:rPr>
      </w:r>
      <w:r>
        <w:rPr>
          <w:highlight w:val="none"/>
        </w:rPr>
      </w:r>
    </w:p>
    <w:p>
      <w:pPr>
        <w:ind w:firstLine="709"/>
        <w:jc w:val="both"/>
      </w:pPr>
      <w:r>
        <w:t xml:space="preserve">Заключение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w:t>
      </w:r>
      <w:r>
        <w:t xml:space="preserve">разделе</w:t>
      </w:r>
      <w:r>
        <w:t xml:space="preserve"> «Жизненная ситуация» через «Личный кабинет заявителя» на сайте продавца (</w:t>
      </w:r>
      <w:hyperlink r:id="rId19" w:tooltip="https://fiol.rosim.gov.ru/mk/).%20Инструкция" w:history="1">
        <w:r>
          <w:rPr>
            <w:rStyle w:val="1035"/>
          </w:rPr>
          <w:t xml:space="preserve">https://fiol.rosim.gov.ru/mk/). </w:t>
        </w:r>
        <w:r>
          <w:t xml:space="preserve">Инструкция</w:t>
        </w:r>
      </w:hyperlink>
      <w:r>
        <w:t xml:space="preserve"> по созданию обращения «Подписать договор по результатам торгов» для покупателей - </w:t>
      </w:r>
      <w:r>
        <w:rPr>
          <w:highlight w:val="yellow"/>
        </w:rPr>
        <w:t xml:space="preserve">Приложение № 3</w:t>
      </w:r>
      <w:r>
        <w:t xml:space="preserve">.</w:t>
      </w:r>
      <w:r/>
    </w:p>
    <w:p>
      <w:pPr>
        <w:ind w:firstLine="709"/>
        <w:jc w:val="both"/>
      </w:pPr>
      <w:r>
        <w:t xml:space="preserve">Вход в «Личный кабинет заявителя» осуществляется через авторизацию с помощью «</w:t>
      </w:r>
      <w:r>
        <w:rPr>
          <w:color w:val="333333"/>
        </w:rPr>
        <w:t xml:space="preserve">Единого портала государственных и муниципальных услуг (функций)</w:t>
      </w:r>
      <w:r>
        <w:t xml:space="preserve">» (ЕСИА) (далее – сайт «</w:t>
      </w:r>
      <w:r>
        <w:t xml:space="preserve">Госуслуги</w:t>
      </w:r>
      <w:r>
        <w:t xml:space="preserve">»).</w:t>
      </w:r>
      <w:r/>
    </w:p>
    <w:p>
      <w:pPr>
        <w:ind w:firstLine="709"/>
        <w:jc w:val="both"/>
      </w:pPr>
      <w:r>
        <w:rPr>
          <w:highlight w:val="yellow"/>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p>
    <w:p>
      <w:pPr>
        <w:ind w:firstLine="709"/>
        <w:jc w:val="both"/>
      </w:pPr>
      <w:r>
        <w:rPr>
          <w:b/>
        </w:rPr>
        <w:t xml:space="preserve">Внимание! </w:t>
      </w:r>
      <w:r>
        <w:t xml:space="preserve">Перед направлением обращения просим проверить актуальность паспортных данных, внесенных в соответствующие разделы на сайте «</w:t>
      </w:r>
      <w:r>
        <w:t xml:space="preserve">Госуслуги</w:t>
      </w:r>
      <w:r>
        <w:t xml:space="preserve">», </w:t>
      </w:r>
      <w:r>
        <w:t xml:space="preserve">поскольку они будут использованы при создании обращения и подготовке электронной формы договора купли-продажи.</w:t>
      </w:r>
      <w:r/>
    </w:p>
    <w:p>
      <w:pPr>
        <w:ind w:firstLine="709"/>
        <w:jc w:val="both"/>
        <w:rPr>
          <w:highlight w:val="none"/>
        </w:rPr>
      </w:pPr>
      <w:r>
        <w:t xml:space="preserve">Для подписания договора купли-продажи потребуется наличие у покупателя электронной подписи или мобильного приложения «</w:t>
      </w:r>
      <w:r>
        <w:t xml:space="preserve">Госключ</w:t>
      </w:r>
      <w:r>
        <w:t xml:space="preserve">».</w:t>
      </w:r>
      <w:r>
        <w:rPr>
          <w:highlight w:val="none"/>
        </w:rPr>
      </w:r>
    </w:p>
    <w:p>
      <w:pPr>
        <w:ind w:firstLine="709"/>
        <w:jc w:val="both"/>
        <w:tabs>
          <w:tab w:val="left" w:pos="0" w:leader="none"/>
        </w:tabs>
        <w:rPr>
          <w14:ligatures w14:val="none"/>
        </w:rPr>
      </w:pPr>
      <w:r>
        <w:t xml:space="preserve">В случае недоступности </w:t>
      </w:r>
      <w:r>
        <w:t xml:space="preserve">государственной информационной системы «Федеральное имущество онлайн»</w:t>
      </w:r>
      <w:r>
        <w:t xml:space="preserve"> договор </w:t>
      </w:r>
      <w:r>
        <w:t xml:space="preserve">купли-продажи имущества</w:t>
      </w:r>
      <w:r>
        <w:t xml:space="preserve"> заключается </w:t>
      </w:r>
      <w:r>
        <w:t xml:space="preserve">в форме электронного документа</w:t>
      </w:r>
      <w:r>
        <w:t xml:space="preserve"> на </w:t>
      </w:r>
      <w:r>
        <w:t xml:space="preserve">электронной торговой площадке </w:t>
      </w:r>
      <w:r>
        <w:t xml:space="preserve">Акционерное общество «Сбербанк-Автоматизированная система торгов» (АО</w:t>
      </w:r>
      <w:r>
        <w:t xml:space="preserve"> «Сбербанк АСТ»).</w:t>
      </w:r>
      <w:r>
        <w:rPr>
          <w14:ligatures w14:val="none"/>
        </w:rPr>
      </w:r>
      <w:r>
        <w:rPr>
          <w14:ligatures w14:val="none"/>
        </w:rPr>
      </w:r>
    </w:p>
    <w:p>
      <w:pPr>
        <w:ind w:firstLine="709"/>
        <w:jc w:val="both"/>
      </w:pPr>
      <w:r>
        <w:t xml:space="preserve">13.2.</w:t>
      </w:r>
      <w:r>
        <w:rPr>
          <w:b/>
        </w:rPr>
        <w:t xml:space="preserve"> </w:t>
      </w:r>
      <w:r>
        <w:t xml:space="preserve">При уклонении или о</w:t>
      </w:r>
      <w:r>
        <w:t xml:space="preserve">тказе победителя аукциона либо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w:t>
      </w:r>
      <w:r>
        <w:t xml:space="preserve"> задаток ему не возвращается.</w:t>
      </w:r>
      <w:r/>
    </w:p>
    <w:p>
      <w:pPr>
        <w:pStyle w:val="946"/>
        <w:ind w:firstLine="709"/>
        <w:spacing w:after="0"/>
        <w:tabs>
          <w:tab w:val="left" w:pos="0" w:leader="none"/>
        </w:tabs>
      </w:pPr>
      <w:r>
        <w:rPr>
          <w:b w:val="0"/>
          <w:sz w:val="24"/>
        </w:rPr>
        <w:t xml:space="preserve">13.3. Ответственность покупателя в </w:t>
      </w:r>
      <w:r>
        <w:rPr>
          <w:b w:val="0"/>
          <w:sz w:val="24"/>
        </w:rPr>
        <w:t xml:space="preserve">случае</w:t>
      </w:r>
      <w:r>
        <w:rPr>
          <w:b w:val="0"/>
          <w:sz w:val="24"/>
        </w:rPr>
        <w:t xml:space="preserve">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w:t>
      </w:r>
      <w:r>
        <w:rPr>
          <w:b w:val="0"/>
          <w:sz w:val="24"/>
        </w:rPr>
        <w:t xml:space="preserve"> ему не возвращается. Денежные средства в счет оплаты приватизируемого имущества подлежат перечислению (единовременно в безналичном </w:t>
      </w:r>
      <w:r>
        <w:rPr>
          <w:b w:val="0"/>
          <w:sz w:val="24"/>
        </w:rPr>
        <w:t xml:space="preserve">порядке</w:t>
      </w:r>
      <w:r>
        <w:rPr>
          <w:b w:val="0"/>
          <w:sz w:val="24"/>
        </w:rPr>
        <w:t xml:space="preserve">) победителем аукциона в федеральный бюджет на счет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046015001</w:t>
      </w:r>
      <w:r/>
    </w:p>
    <w:p>
      <w:pPr>
        <w:ind w:firstLine="709"/>
        <w:jc w:val="both"/>
        <w:tabs>
          <w:tab w:val="left" w:pos="0" w:leader="none"/>
          <w:tab w:val="left" w:pos="284" w:leader="none"/>
        </w:tabs>
      </w:pPr>
      <w:r>
        <w:t xml:space="preserve">Банковский счет, входящий в состав ЕКС: 40102810845370000050 </w:t>
      </w:r>
      <w:r/>
    </w:p>
    <w:p>
      <w:pPr>
        <w:ind w:firstLine="709"/>
        <w:jc w:val="both"/>
        <w:tabs>
          <w:tab w:val="left" w:pos="0" w:leader="none"/>
          <w:tab w:val="left" w:pos="284" w:leader="none"/>
        </w:tabs>
      </w:pPr>
      <w:r>
        <w:t xml:space="preserve">Банк получателя – ОКЦ № 9 Южного ГУ Банка России</w:t>
      </w:r>
      <w:r/>
    </w:p>
    <w:p>
      <w:pPr>
        <w:ind w:firstLine="709"/>
        <w:jc w:val="both"/>
        <w:tabs>
          <w:tab w:val="left" w:pos="0" w:leader="none"/>
          <w:tab w:val="left" w:pos="284" w:leader="none"/>
        </w:tabs>
      </w:pPr>
      <w:r>
        <w:t xml:space="preserve">Номер казначейского счета: 03100643000000015800</w:t>
      </w:r>
      <w:r/>
    </w:p>
    <w:p>
      <w:pPr>
        <w:ind w:firstLine="709"/>
        <w:jc w:val="both"/>
        <w:tabs>
          <w:tab w:val="left" w:pos="0" w:leader="none"/>
          <w:tab w:val="left" w:pos="284" w:leader="none"/>
        </w:tabs>
      </w:pPr>
      <w:r>
        <w:t xml:space="preserve">Получатель: УФК по Ростовской области (ТУ </w:t>
      </w:r>
      <w:r>
        <w:t xml:space="preserve">Росимуществ</w:t>
      </w:r>
      <w:r>
        <w:t xml:space="preserve">а</w:t>
      </w:r>
      <w:r>
        <w:t xml:space="preserve"> в Ростовской области л/с 04581А21820)</w:t>
      </w:r>
      <w:r/>
    </w:p>
    <w:p>
      <w:pPr>
        <w:ind w:firstLine="709"/>
        <w:jc w:val="both"/>
        <w:tabs>
          <w:tab w:val="left" w:pos="0" w:leader="none"/>
          <w:tab w:val="left" w:pos="284" w:leader="none"/>
        </w:tabs>
      </w:pPr>
      <w:r>
        <w:t xml:space="preserve">ОКТМО 60701000</w:t>
      </w:r>
      <w:r/>
    </w:p>
    <w:p>
      <w:pPr>
        <w:pStyle w:val="946"/>
        <w:spacing w:after="0"/>
        <w:tabs>
          <w:tab w:val="left" w:pos="0" w:leader="none"/>
        </w:tabs>
        <w:rPr>
          <w:sz w:val="24"/>
        </w:rPr>
      </w:pPr>
      <w:r>
        <w:rPr>
          <w:sz w:val="24"/>
        </w:rPr>
        <w:t xml:space="preserve">КБК 167 114 13010 01 6000 410 </w:t>
      </w:r>
      <w:r>
        <w:rPr>
          <w:sz w:val="24"/>
        </w:rPr>
      </w:r>
      <w:r>
        <w:rPr>
          <w:sz w:val="24"/>
        </w:rPr>
      </w:r>
    </w:p>
    <w:p>
      <w:pPr>
        <w:ind w:firstLine="709"/>
        <w:jc w:val="both"/>
        <w:tabs>
          <w:tab w:val="left" w:pos="0" w:leader="none"/>
          <w:tab w:val="left" w:pos="284" w:leader="none"/>
        </w:tabs>
      </w:pPr>
      <w:r>
        <w:t xml:space="preserve"> Назначение платежа ___________________________________________.</w:t>
      </w:r>
      <w:r/>
    </w:p>
    <w:p>
      <w:pPr>
        <w:pStyle w:val="976"/>
        <w:ind w:left="0" w:firstLine="709"/>
        <w:tabs>
          <w:tab w:val="left" w:pos="0" w:leader="none"/>
        </w:tabs>
      </w:pPr>
      <w:r>
        <w:t xml:space="preserve">13.4. Задаток, перечисленный покупателем для участия в </w:t>
      </w:r>
      <w:r>
        <w:t xml:space="preserve">аукционе</w:t>
      </w:r>
      <w:r>
        <w:t xml:space="preserve">, засчитывается в счет оплаты имущества.</w:t>
      </w:r>
      <w:r/>
    </w:p>
    <w:p>
      <w:pPr>
        <w:ind w:firstLine="709"/>
        <w:jc w:val="both"/>
        <w:rPr>
          <w:szCs w:val="24"/>
        </w:rPr>
      </w:pPr>
      <w:r>
        <w:t xml:space="preserve">13.5. </w:t>
      </w:r>
      <w:r>
        <w:rPr>
          <w:szCs w:val="24"/>
        </w:rPr>
        <w:t xml:space="preserve">Оплата приобретаемого имущества производится путем перечисления денежных средств на счет, указанный в </w:t>
      </w:r>
      <w:r>
        <w:rPr>
          <w:szCs w:val="24"/>
        </w:rPr>
        <w:t xml:space="preserve">договоре</w:t>
      </w:r>
      <w:r>
        <w:rPr>
          <w:szCs w:val="24"/>
        </w:rPr>
        <w:t xml:space="preserve"> купли-продажи.</w:t>
      </w:r>
      <w:r>
        <w:rPr>
          <w:szCs w:val="24"/>
        </w:rPr>
      </w:r>
      <w:r>
        <w:rPr>
          <w:szCs w:val="24"/>
        </w:rPr>
      </w:r>
    </w:p>
    <w:p>
      <w:pPr>
        <w:ind w:firstLine="709"/>
        <w:jc w:val="both"/>
      </w:pPr>
      <w:r>
        <w:rPr>
          <w:szCs w:val="24"/>
        </w:rPr>
        <w:t xml:space="preserve">Денежные средства в счет оплаты государственного имущества подлежат перечислению Победителем в установленном порядке в бюдже</w:t>
      </w:r>
      <w:r>
        <w:rPr>
          <w:szCs w:val="24"/>
        </w:rPr>
        <w:t xml:space="preserve">т соответствующего уровня бюджетной системы Российской Федерации в размере и сроки, которые указаны в договоре купли-продажи имущества, но не позднее 30 дней со дня заключения такого договора.</w:t>
      </w:r>
      <w:r/>
    </w:p>
    <w:p>
      <w:pPr>
        <w:pStyle w:val="916"/>
        <w:ind w:firstLine="709"/>
      </w:pPr>
      <w:r>
        <w:t xml:space="preserve">13.6 Факт оплаты имущества подтверждается выпиской со счета о п</w:t>
      </w:r>
      <w:r>
        <w:t xml:space="preserve">оступлении средств в размере и сроки, указанные в договоре купли-продажи. </w:t>
      </w:r>
      <w:r/>
    </w:p>
    <w:p>
      <w:pPr>
        <w:pStyle w:val="916"/>
        <w:ind w:firstLine="709"/>
      </w:pPr>
      <w:r>
        <w:t xml:space="preserve">13.7.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w:t>
      </w:r>
      <w:r>
        <w:t xml:space="preserve">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w:t>
      </w:r>
      <w:r>
        <w:t xml:space="preserve">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w:t>
      </w:r>
      <w:r>
        <w:t xml:space="preserve">нные лица обязаны исчислить расчетным методом, удержать из выплачиваемых доходов и уплатить в бюджет соответствующую сумму налога.</w:t>
      </w:r>
      <w:r/>
    </w:p>
    <w:p>
      <w:pPr>
        <w:pStyle w:val="916"/>
        <w:ind w:firstLine="709"/>
      </w:pPr>
      <w:r/>
      <w:r/>
    </w:p>
    <w:p>
      <w:pPr>
        <w:pStyle w:val="976"/>
        <w:ind w:left="0" w:firstLine="851"/>
        <w:jc w:val="center"/>
        <w:tabs>
          <w:tab w:val="left" w:pos="0" w:leader="none"/>
          <w:tab w:val="clear" w:pos="284" w:leader="none"/>
        </w:tabs>
        <w:rPr>
          <w:b/>
        </w:rPr>
      </w:pPr>
      <w:r>
        <w:rPr>
          <w:b/>
        </w:rPr>
        <w:t xml:space="preserve">14. Переход права собственности на федеральное имущество</w:t>
      </w:r>
      <w:r>
        <w:rPr>
          <w:b/>
        </w:rPr>
      </w:r>
      <w:r>
        <w:rPr>
          <w:b/>
        </w:rPr>
      </w:r>
    </w:p>
    <w:p>
      <w:pPr>
        <w:pStyle w:val="916"/>
        <w:ind w:firstLine="709"/>
      </w:pPr>
      <w:r>
        <w:t xml:space="preserve">14.1. Передача имущества и оформление права собственности на него о</w:t>
      </w:r>
      <w:r>
        <w:t xml:space="preserve">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r/>
    </w:p>
    <w:p>
      <w:pPr>
        <w:pStyle w:val="946"/>
        <w:ind w:firstLine="709"/>
        <w:spacing w:after="0"/>
      </w:pPr>
      <w:r>
        <w:rPr>
          <w:b w:val="0"/>
          <w:sz w:val="24"/>
        </w:rPr>
        <w:t xml:space="preserve">14.2. Покупатель самостоятельно и за свой счет оформляет документы, не</w:t>
      </w:r>
      <w:r>
        <w:rPr>
          <w:b w:val="0"/>
          <w:sz w:val="24"/>
        </w:rPr>
        <w:t xml:space="preserve">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r/>
    </w:p>
    <w:p>
      <w:pPr>
        <w:tabs>
          <w:tab w:val="left" w:pos="0" w:leader="none"/>
        </w:tabs>
        <w:rPr>
          <w:b/>
        </w:rPr>
      </w:pPr>
      <w:r>
        <w:rPr>
          <w:b/>
        </w:rPr>
      </w:r>
      <w:r>
        <w:rPr>
          <w:b/>
        </w:rPr>
      </w:r>
      <w:r>
        <w:rPr>
          <w:b/>
        </w:rPr>
      </w:r>
    </w:p>
    <w:p>
      <w:pPr>
        <w:pStyle w:val="946"/>
        <w:ind w:firstLine="851"/>
        <w:jc w:val="center"/>
        <w:spacing w:after="0"/>
        <w:tabs>
          <w:tab w:val="left" w:pos="1080" w:leader="none"/>
        </w:tabs>
        <w:rPr>
          <w:sz w:val="24"/>
        </w:rPr>
      </w:pPr>
      <w:r>
        <w:rPr>
          <w:sz w:val="24"/>
        </w:rPr>
      </w:r>
      <w:r>
        <w:rPr>
          <w:sz w:val="24"/>
        </w:rPr>
      </w:r>
      <w:r>
        <w:rPr>
          <w:sz w:val="24"/>
        </w:rPr>
      </w:r>
    </w:p>
    <w:p>
      <w:pPr>
        <w:pStyle w:val="946"/>
        <w:ind w:firstLine="851"/>
        <w:jc w:val="center"/>
        <w:spacing w:after="0"/>
        <w:tabs>
          <w:tab w:val="left" w:pos="1080" w:leader="none"/>
        </w:tabs>
        <w:rPr>
          <w:sz w:val="24"/>
        </w:rPr>
      </w:pPr>
      <w:r>
        <w:rPr>
          <w:sz w:val="24"/>
        </w:rPr>
        <w:t xml:space="preserve">15. Заключительные положения</w:t>
      </w:r>
      <w:r>
        <w:rPr>
          <w:sz w:val="24"/>
        </w:rPr>
      </w:r>
      <w:r>
        <w:rPr>
          <w:sz w:val="24"/>
        </w:rPr>
      </w:r>
    </w:p>
    <w:p>
      <w:pPr>
        <w:ind w:firstLine="851"/>
        <w:jc w:val="both"/>
      </w:pPr>
      <w:r>
        <w:t xml:space="preserve">15.1. Все вопросы, касающиеся проведения аукциона в</w:t>
      </w:r>
      <w:r>
        <w:t xml:space="preserve"> электронной </w:t>
      </w:r>
      <w:r>
        <w:t xml:space="preserve">форме</w:t>
      </w:r>
      <w:r>
        <w:t xml:space="preserve"> не нашедшие отражения в настоящем информационном сообщении, регулируются законодательством Российской Федерации.</w:t>
      </w:r>
      <w:r/>
    </w:p>
    <w:p>
      <w:pPr>
        <w:pStyle w:val="976"/>
        <w:tabs>
          <w:tab w:val="clear" w:pos="284" w:leader="none"/>
        </w:tabs>
      </w:pPr>
      <w:r/>
      <w:r/>
    </w:p>
    <w:sectPr>
      <w:headerReference w:type="default" r:id="rId9"/>
      <w:headerReference w:type="first" r:id="rId10"/>
      <w:footnotePr/>
      <w:endnotePr/>
      <w:type w:val="nextPage"/>
      <w:pgSz w:w="11906" w:h="16838" w:orient="portrait"/>
      <w:pgMar w:top="1134" w:right="991" w:bottom="1134" w:left="1560" w:header="708" w:footer="708"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2020603050405020304"/>
  </w:font>
  <w:font w:name="TimesNewRoman">
    <w:panose1 w:val="02020603050405020304"/>
  </w:font>
  <w:font w:name="TimesNewRoman,Bold">
    <w:panose1 w:val="02020603050405020304"/>
  </w:font>
  <w:font w:name="Verdana">
    <w:panose1 w:val="020B0604030504040204"/>
  </w:font>
  <w:font w:name="Tahoma">
    <w:panose1 w:val="020B0604030504040204"/>
  </w:font>
  <w:font w:name="Calibri">
    <w:panose1 w:val="020F0502020204030204"/>
  </w:font>
  <w:font w:name="XO Thames">
    <w:panose1 w:val="020206030504050203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framePr w:wrap="around" w:vAnchor="text" w:hAnchor="margin" w:xAlign="center" w:y="1"/>
    </w:pPr>
    <w:r>
      <w:fldChar w:fldCharType="begin"/>
    </w:r>
    <w:r>
      <w:instrText xml:space="preserve">PAGE </w:instrText>
    </w:r>
    <w:r>
      <w:fldChar w:fldCharType="separate"/>
    </w:r>
    <w:r>
      <w:t xml:space="preserve">5</w:t>
    </w:r>
    <w:r>
      <w:fldChar w:fldCharType="end"/>
    </w:r>
    <w:r/>
  </w:p>
  <w:p>
    <w:pPr>
      <w:pStyle w:val="933"/>
      <w:jc w:val="center"/>
    </w:pPr>
    <w:r/>
    <w:r/>
  </w:p>
  <w:p>
    <w:pPr>
      <w:pStyle w:val="93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3"/>
      <w:jc w:val="center"/>
    </w:pPr>
    <w:r/>
    <w:r/>
  </w:p>
  <w:p>
    <w:pPr>
      <w:pStyle w:val="93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720" w:hanging="360"/>
      </w:pPr>
    </w:lvl>
    <w:lvl w:ilvl="1">
      <w:start w:val="6"/>
      <w:numFmt w:val="decimal"/>
      <w:isLgl w:val="false"/>
      <w:suff w:val="tab"/>
      <w:lvlText w:val="%1.%2."/>
      <w:lvlJc w:val="left"/>
      <w:pPr>
        <w:ind w:left="1074" w:hanging="540"/>
      </w:pPr>
    </w:lvl>
    <w:lvl w:ilvl="2">
      <w:start w:val="2"/>
      <w:numFmt w:val="decimal"/>
      <w:isLgl w:val="false"/>
      <w:suff w:val="tab"/>
      <w:lvlText w:val="%1.%2.%3."/>
      <w:lvlJc w:val="left"/>
      <w:pPr>
        <w:ind w:left="1428" w:hanging="720"/>
      </w:pPr>
    </w:lvl>
    <w:lvl w:ilvl="3">
      <w:start w:val="1"/>
      <w:numFmt w:val="decimal"/>
      <w:isLgl w:val="false"/>
      <w:suff w:val="tab"/>
      <w:lvlText w:val="%1.%2.%3.%4."/>
      <w:lvlJc w:val="left"/>
      <w:pPr>
        <w:ind w:left="1602" w:hanging="720"/>
      </w:pPr>
    </w:lvl>
    <w:lvl w:ilvl="4">
      <w:start w:val="1"/>
      <w:numFmt w:val="decimal"/>
      <w:isLgl w:val="false"/>
      <w:suff w:val="tab"/>
      <w:lvlText w:val="%1.%2.%3.%4.%5."/>
      <w:lvlJc w:val="left"/>
      <w:pPr>
        <w:ind w:left="2136" w:hanging="1080"/>
      </w:pPr>
    </w:lvl>
    <w:lvl w:ilvl="5">
      <w:start w:val="1"/>
      <w:numFmt w:val="decimal"/>
      <w:isLgl w:val="false"/>
      <w:suff w:val="tab"/>
      <w:lvlText w:val="%1.%2.%3.%4.%5.%6."/>
      <w:lvlJc w:val="left"/>
      <w:pPr>
        <w:ind w:left="2310" w:hanging="1080"/>
      </w:pPr>
    </w:lvl>
    <w:lvl w:ilvl="6">
      <w:start w:val="1"/>
      <w:numFmt w:val="decimal"/>
      <w:isLgl w:val="false"/>
      <w:suff w:val="tab"/>
      <w:lvlText w:val="%1.%2.%3.%4.%5.%6.%7."/>
      <w:lvlJc w:val="left"/>
      <w:pPr>
        <w:ind w:left="2844" w:hanging="1440"/>
      </w:pPr>
    </w:lvl>
    <w:lvl w:ilvl="7">
      <w:start w:val="1"/>
      <w:numFmt w:val="decimal"/>
      <w:isLgl w:val="false"/>
      <w:suff w:val="tab"/>
      <w:lvlText w:val="%1.%2.%3.%4.%5.%6.%7.%8."/>
      <w:lvlJc w:val="left"/>
      <w:pPr>
        <w:ind w:left="3018" w:hanging="1440"/>
      </w:pPr>
    </w:lvl>
    <w:lvl w:ilvl="8">
      <w:start w:val="1"/>
      <w:numFmt w:val="decimal"/>
      <w:isLgl w:val="false"/>
      <w:suff w:val="tab"/>
      <w:lvlText w:val="%1.%2.%3.%4.%5.%6.%7.%8.%9."/>
      <w:lvlJc w:val="left"/>
      <w:pPr>
        <w:ind w:left="3552" w:hanging="1800"/>
      </w:pPr>
    </w:lvl>
  </w:abstractNum>
  <w:abstractNum w:abstractNumId="1">
    <w:multiLevelType w:val="hybridMultilevel"/>
    <w:lvl w:ilvl="0">
      <w:start w:val="6"/>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
    <w:multiLevelType w:val="hybridMultilevel"/>
    <w:lvl w:ilvl="0">
      <w:start w:val="9"/>
      <w:numFmt w:val="decimal"/>
      <w:isLgl w:val="false"/>
      <w:suff w:val="tab"/>
      <w:lvlText w:val="%1."/>
      <w:lvlJc w:val="left"/>
      <w:pPr>
        <w:ind w:left="360" w:hanging="360"/>
      </w:pPr>
    </w:lvl>
    <w:lvl w:ilvl="1">
      <w:start w:val="2"/>
      <w:numFmt w:val="decimal"/>
      <w:isLgl w:val="false"/>
      <w:suff w:val="tab"/>
      <w:lvlText w:val="%1.%2."/>
      <w:lvlJc w:val="left"/>
      <w:pPr>
        <w:ind w:left="1069" w:hanging="36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4">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5">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6">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7">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8">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9">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0">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1">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2">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3">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4">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5">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6">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7">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8">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9">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20">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21">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HAnsi" w:hAnsiTheme="minorHAnsi"/>
        <w:color w:val="000000"/>
        <w:sz w:val="22"/>
        <w:lang w:val="ru-RU" w:eastAsia="ru-RU"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4" w:default="1">
    <w:name w:val="Normal"/>
    <w:link w:val="907"/>
    <w:qFormat/>
    <w:pPr>
      <w:spacing w:after="0" w:line="240" w:lineRule="auto"/>
    </w:pPr>
    <w:rPr>
      <w:rFonts w:ascii="Times New Roman" w:hAnsi="Times New Roman"/>
      <w:sz w:val="24"/>
    </w:rPr>
  </w:style>
  <w:style w:type="paragraph" w:styleId="735">
    <w:name w:val="Heading 1"/>
    <w:basedOn w:val="734"/>
    <w:next w:val="734"/>
    <w:link w:val="959"/>
    <w:uiPriority w:val="9"/>
    <w:qFormat/>
    <w:pPr>
      <w:keepNext/>
      <w:spacing w:before="240" w:after="60"/>
      <w:outlineLvl w:val="0"/>
    </w:pPr>
    <w:rPr>
      <w:rFonts w:ascii="Arial" w:hAnsi="Arial"/>
      <w:b/>
      <w:sz w:val="32"/>
    </w:rPr>
  </w:style>
  <w:style w:type="paragraph" w:styleId="736">
    <w:name w:val="Heading 2"/>
    <w:basedOn w:val="734"/>
    <w:link w:val="995"/>
    <w:uiPriority w:val="9"/>
    <w:qFormat/>
    <w:pPr>
      <w:spacing w:beforeAutospacing="1" w:afterAutospacing="1"/>
      <w:outlineLvl w:val="1"/>
    </w:pPr>
    <w:rPr>
      <w:b/>
      <w:sz w:val="36"/>
    </w:rPr>
  </w:style>
  <w:style w:type="paragraph" w:styleId="737">
    <w:name w:val="Heading 3"/>
    <w:next w:val="734"/>
    <w:link w:val="924"/>
    <w:uiPriority w:val="9"/>
    <w:qFormat/>
    <w:pPr>
      <w:jc w:val="both"/>
      <w:spacing w:before="120" w:after="120"/>
      <w:outlineLvl w:val="2"/>
    </w:pPr>
    <w:rPr>
      <w:rFonts w:ascii="XO Thames" w:hAnsi="XO Thames"/>
      <w:b/>
      <w:sz w:val="26"/>
    </w:rPr>
  </w:style>
  <w:style w:type="paragraph" w:styleId="738">
    <w:name w:val="Heading 4"/>
    <w:next w:val="734"/>
    <w:link w:val="994"/>
    <w:uiPriority w:val="9"/>
    <w:qFormat/>
    <w:pPr>
      <w:jc w:val="both"/>
      <w:spacing w:before="120" w:after="120"/>
      <w:outlineLvl w:val="3"/>
    </w:pPr>
    <w:rPr>
      <w:rFonts w:ascii="XO Thames" w:hAnsi="XO Thames"/>
      <w:b/>
      <w:sz w:val="24"/>
    </w:rPr>
  </w:style>
  <w:style w:type="paragraph" w:styleId="739">
    <w:name w:val="Heading 5"/>
    <w:next w:val="734"/>
    <w:link w:val="958"/>
    <w:uiPriority w:val="9"/>
    <w:qFormat/>
    <w:pPr>
      <w:jc w:val="both"/>
      <w:spacing w:before="120" w:after="120"/>
      <w:outlineLvl w:val="4"/>
    </w:pPr>
    <w:rPr>
      <w:rFonts w:ascii="XO Thames" w:hAnsi="XO Thames"/>
      <w:b/>
    </w:rPr>
  </w:style>
  <w:style w:type="paragraph" w:styleId="740">
    <w:name w:val="Heading 6"/>
    <w:basedOn w:val="734"/>
    <w:next w:val="734"/>
    <w:link w:val="760"/>
    <w:uiPriority w:val="9"/>
    <w:unhideWhenUsed/>
    <w:qFormat/>
    <w:pPr>
      <w:keepLines/>
      <w:keepNext/>
      <w:spacing w:before="320" w:after="200"/>
      <w:outlineLvl w:val="5"/>
    </w:pPr>
    <w:rPr>
      <w:rFonts w:ascii="Arial" w:hAnsi="Arial" w:eastAsia="Arial" w:cs="Arial"/>
      <w:b/>
      <w:bCs/>
      <w:sz w:val="22"/>
      <w:szCs w:val="22"/>
    </w:rPr>
  </w:style>
  <w:style w:type="paragraph" w:styleId="741">
    <w:name w:val="Heading 7"/>
    <w:basedOn w:val="734"/>
    <w:next w:val="734"/>
    <w:link w:val="761"/>
    <w:uiPriority w:val="9"/>
    <w:unhideWhenUsed/>
    <w:qFormat/>
    <w:pPr>
      <w:keepLines/>
      <w:keepNext/>
      <w:spacing w:before="320" w:after="200"/>
      <w:outlineLvl w:val="6"/>
    </w:pPr>
    <w:rPr>
      <w:rFonts w:ascii="Arial" w:hAnsi="Arial" w:eastAsia="Arial" w:cs="Arial"/>
      <w:b/>
      <w:bCs/>
      <w:i/>
      <w:iCs/>
      <w:sz w:val="22"/>
      <w:szCs w:val="22"/>
    </w:rPr>
  </w:style>
  <w:style w:type="paragraph" w:styleId="742">
    <w:name w:val="Heading 8"/>
    <w:basedOn w:val="734"/>
    <w:next w:val="734"/>
    <w:link w:val="762"/>
    <w:uiPriority w:val="9"/>
    <w:unhideWhenUsed/>
    <w:qFormat/>
    <w:pPr>
      <w:keepLines/>
      <w:keepNext/>
      <w:spacing w:before="320" w:after="200"/>
      <w:outlineLvl w:val="7"/>
    </w:pPr>
    <w:rPr>
      <w:rFonts w:ascii="Arial" w:hAnsi="Arial" w:eastAsia="Arial" w:cs="Arial"/>
      <w:i/>
      <w:iCs/>
      <w:sz w:val="22"/>
      <w:szCs w:val="22"/>
    </w:rPr>
  </w:style>
  <w:style w:type="paragraph" w:styleId="743">
    <w:name w:val="Heading 9"/>
    <w:basedOn w:val="734"/>
    <w:next w:val="734"/>
    <w:link w:val="763"/>
    <w:uiPriority w:val="9"/>
    <w:unhideWhenUsed/>
    <w:qFormat/>
    <w:pPr>
      <w:keepLines/>
      <w:keepNext/>
      <w:spacing w:before="320" w:after="200"/>
      <w:outlineLvl w:val="8"/>
    </w:pPr>
    <w:rPr>
      <w:rFonts w:ascii="Arial" w:hAnsi="Arial" w:eastAsia="Arial" w:cs="Arial"/>
      <w:i/>
      <w:iCs/>
      <w:sz w:val="21"/>
      <w:szCs w:val="21"/>
    </w:rPr>
  </w:style>
  <w:style w:type="character" w:styleId="744" w:default="1">
    <w:name w:val="Default Paragraph Font"/>
    <w:uiPriority w:val="1"/>
    <w:semiHidden/>
    <w:unhideWhenUsed/>
  </w:style>
  <w:style w:type="table" w:styleId="745" w:default="1">
    <w:name w:val="Normal Table"/>
    <w:uiPriority w:val="99"/>
    <w:semiHidden/>
    <w:unhideWhenUsed/>
    <w:tblPr>
      <w:tblInd w:w="0" w:type="dxa"/>
      <w:tblCellMar>
        <w:left w:w="108" w:type="dxa"/>
        <w:top w:w="0" w:type="dxa"/>
        <w:right w:w="108" w:type="dxa"/>
        <w:bottom w:w="0" w:type="dxa"/>
      </w:tblCellMar>
    </w:tblPr>
  </w:style>
  <w:style w:type="numbering" w:styleId="746" w:default="1">
    <w:name w:val="No List"/>
    <w:uiPriority w:val="99"/>
    <w:semiHidden/>
    <w:unhideWhenUsed/>
  </w:style>
  <w:style w:type="character" w:styleId="747" w:customStyle="1">
    <w:name w:val="Heading 6 Char"/>
    <w:basedOn w:val="744"/>
    <w:uiPriority w:val="9"/>
    <w:rPr>
      <w:rFonts w:ascii="Arial" w:hAnsi="Arial" w:eastAsia="Arial" w:cs="Arial"/>
      <w:b/>
      <w:bCs/>
      <w:sz w:val="22"/>
      <w:szCs w:val="22"/>
    </w:rPr>
  </w:style>
  <w:style w:type="character" w:styleId="748" w:customStyle="1">
    <w:name w:val="Heading 7 Char"/>
    <w:basedOn w:val="744"/>
    <w:uiPriority w:val="9"/>
    <w:rPr>
      <w:rFonts w:ascii="Arial" w:hAnsi="Arial" w:eastAsia="Arial" w:cs="Arial"/>
      <w:b/>
      <w:bCs/>
      <w:i/>
      <w:iCs/>
      <w:sz w:val="22"/>
      <w:szCs w:val="22"/>
    </w:rPr>
  </w:style>
  <w:style w:type="character" w:styleId="749" w:customStyle="1">
    <w:name w:val="Heading 8 Char"/>
    <w:basedOn w:val="744"/>
    <w:uiPriority w:val="9"/>
    <w:rPr>
      <w:rFonts w:ascii="Arial" w:hAnsi="Arial" w:eastAsia="Arial" w:cs="Arial"/>
      <w:i/>
      <w:iCs/>
      <w:sz w:val="22"/>
      <w:szCs w:val="22"/>
    </w:rPr>
  </w:style>
  <w:style w:type="character" w:styleId="750" w:customStyle="1">
    <w:name w:val="Heading 9 Char"/>
    <w:basedOn w:val="744"/>
    <w:uiPriority w:val="9"/>
    <w:rPr>
      <w:rFonts w:ascii="Arial" w:hAnsi="Arial" w:eastAsia="Arial" w:cs="Arial"/>
      <w:i/>
      <w:iCs/>
      <w:sz w:val="21"/>
      <w:szCs w:val="21"/>
    </w:rPr>
  </w:style>
  <w:style w:type="character" w:styleId="751" w:customStyle="1">
    <w:name w:val="Quote Char"/>
    <w:uiPriority w:val="29"/>
    <w:rPr>
      <w:i/>
    </w:rPr>
  </w:style>
  <w:style w:type="character" w:styleId="752" w:customStyle="1">
    <w:name w:val="Intense Quote Char"/>
    <w:uiPriority w:val="30"/>
    <w:rPr>
      <w:i/>
    </w:rPr>
  </w:style>
  <w:style w:type="character" w:styleId="753" w:customStyle="1">
    <w:name w:val="Footnote Text Char"/>
    <w:uiPriority w:val="99"/>
    <w:rPr>
      <w:sz w:val="18"/>
    </w:rPr>
  </w:style>
  <w:style w:type="character" w:styleId="754" w:customStyle="1">
    <w:name w:val="Endnote Text Char"/>
    <w:uiPriority w:val="99"/>
    <w:rPr>
      <w:sz w:val="20"/>
    </w:rPr>
  </w:style>
  <w:style w:type="character" w:styleId="755" w:customStyle="1">
    <w:name w:val="Heading 1 Char"/>
    <w:basedOn w:val="744"/>
    <w:uiPriority w:val="9"/>
    <w:rPr>
      <w:rFonts w:ascii="Arial" w:hAnsi="Arial" w:eastAsia="Arial" w:cs="Arial"/>
      <w:sz w:val="40"/>
      <w:szCs w:val="40"/>
    </w:rPr>
  </w:style>
  <w:style w:type="character" w:styleId="756" w:customStyle="1">
    <w:name w:val="Heading 2 Char"/>
    <w:basedOn w:val="744"/>
    <w:uiPriority w:val="9"/>
    <w:rPr>
      <w:rFonts w:ascii="Arial" w:hAnsi="Arial" w:eastAsia="Arial" w:cs="Arial"/>
      <w:sz w:val="34"/>
    </w:rPr>
  </w:style>
  <w:style w:type="character" w:styleId="757" w:customStyle="1">
    <w:name w:val="Heading 3 Char"/>
    <w:basedOn w:val="744"/>
    <w:uiPriority w:val="9"/>
    <w:rPr>
      <w:rFonts w:ascii="Arial" w:hAnsi="Arial" w:eastAsia="Arial" w:cs="Arial"/>
      <w:sz w:val="30"/>
      <w:szCs w:val="30"/>
    </w:rPr>
  </w:style>
  <w:style w:type="character" w:styleId="758" w:customStyle="1">
    <w:name w:val="Heading 4 Char"/>
    <w:basedOn w:val="744"/>
    <w:uiPriority w:val="9"/>
    <w:rPr>
      <w:rFonts w:ascii="Arial" w:hAnsi="Arial" w:eastAsia="Arial" w:cs="Arial"/>
      <w:b/>
      <w:bCs/>
      <w:sz w:val="26"/>
      <w:szCs w:val="26"/>
    </w:rPr>
  </w:style>
  <w:style w:type="character" w:styleId="759" w:customStyle="1">
    <w:name w:val="Heading 5 Char"/>
    <w:basedOn w:val="744"/>
    <w:uiPriority w:val="9"/>
    <w:rPr>
      <w:rFonts w:ascii="Arial" w:hAnsi="Arial" w:eastAsia="Arial" w:cs="Arial"/>
      <w:b/>
      <w:bCs/>
      <w:sz w:val="24"/>
      <w:szCs w:val="24"/>
    </w:rPr>
  </w:style>
  <w:style w:type="character" w:styleId="760" w:customStyle="1">
    <w:name w:val="Заголовок 6 Знак"/>
    <w:basedOn w:val="744"/>
    <w:link w:val="740"/>
    <w:uiPriority w:val="9"/>
    <w:rPr>
      <w:rFonts w:ascii="Arial" w:hAnsi="Arial" w:eastAsia="Arial" w:cs="Arial"/>
      <w:b/>
      <w:bCs/>
      <w:sz w:val="22"/>
      <w:szCs w:val="22"/>
    </w:rPr>
  </w:style>
  <w:style w:type="character" w:styleId="761" w:customStyle="1">
    <w:name w:val="Заголовок 7 Знак"/>
    <w:basedOn w:val="744"/>
    <w:link w:val="741"/>
    <w:uiPriority w:val="9"/>
    <w:rPr>
      <w:rFonts w:ascii="Arial" w:hAnsi="Arial" w:eastAsia="Arial" w:cs="Arial"/>
      <w:b/>
      <w:bCs/>
      <w:i/>
      <w:iCs/>
      <w:sz w:val="22"/>
      <w:szCs w:val="22"/>
    </w:rPr>
  </w:style>
  <w:style w:type="character" w:styleId="762" w:customStyle="1">
    <w:name w:val="Заголовок 8 Знак"/>
    <w:basedOn w:val="744"/>
    <w:link w:val="742"/>
    <w:uiPriority w:val="9"/>
    <w:rPr>
      <w:rFonts w:ascii="Arial" w:hAnsi="Arial" w:eastAsia="Arial" w:cs="Arial"/>
      <w:i/>
      <w:iCs/>
      <w:sz w:val="22"/>
      <w:szCs w:val="22"/>
    </w:rPr>
  </w:style>
  <w:style w:type="character" w:styleId="763" w:customStyle="1">
    <w:name w:val="Заголовок 9 Знак"/>
    <w:basedOn w:val="744"/>
    <w:link w:val="743"/>
    <w:uiPriority w:val="9"/>
    <w:rPr>
      <w:rFonts w:ascii="Arial" w:hAnsi="Arial" w:eastAsia="Arial" w:cs="Arial"/>
      <w:i/>
      <w:iCs/>
      <w:sz w:val="21"/>
      <w:szCs w:val="21"/>
    </w:rPr>
  </w:style>
  <w:style w:type="paragraph" w:styleId="764">
    <w:name w:val="No Spacing"/>
    <w:uiPriority w:val="1"/>
    <w:qFormat/>
    <w:pPr>
      <w:spacing w:after="0" w:line="240" w:lineRule="auto"/>
    </w:pPr>
  </w:style>
  <w:style w:type="character" w:styleId="765" w:customStyle="1">
    <w:name w:val="Title Char"/>
    <w:basedOn w:val="744"/>
    <w:uiPriority w:val="10"/>
    <w:rPr>
      <w:sz w:val="48"/>
      <w:szCs w:val="48"/>
    </w:rPr>
  </w:style>
  <w:style w:type="character" w:styleId="766" w:customStyle="1">
    <w:name w:val="Subtitle Char"/>
    <w:basedOn w:val="744"/>
    <w:uiPriority w:val="11"/>
    <w:rPr>
      <w:sz w:val="24"/>
      <w:szCs w:val="24"/>
    </w:rPr>
  </w:style>
  <w:style w:type="paragraph" w:styleId="767">
    <w:name w:val="Quote"/>
    <w:basedOn w:val="734"/>
    <w:next w:val="734"/>
    <w:link w:val="768"/>
    <w:uiPriority w:val="29"/>
    <w:qFormat/>
    <w:pPr>
      <w:ind w:left="720" w:right="720"/>
    </w:pPr>
    <w:rPr>
      <w:i/>
    </w:rPr>
  </w:style>
  <w:style w:type="character" w:styleId="768" w:customStyle="1">
    <w:name w:val="Цитата 2 Знак"/>
    <w:link w:val="767"/>
    <w:uiPriority w:val="29"/>
    <w:rPr>
      <w:i/>
    </w:rPr>
  </w:style>
  <w:style w:type="paragraph" w:styleId="769">
    <w:name w:val="Intense Quote"/>
    <w:basedOn w:val="734"/>
    <w:next w:val="734"/>
    <w:link w:val="77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0" w:customStyle="1">
    <w:name w:val="Выделенная цитата Знак"/>
    <w:link w:val="769"/>
    <w:uiPriority w:val="30"/>
    <w:rPr>
      <w:i/>
    </w:rPr>
  </w:style>
  <w:style w:type="character" w:styleId="771" w:customStyle="1">
    <w:name w:val="Header Char"/>
    <w:basedOn w:val="744"/>
    <w:uiPriority w:val="99"/>
  </w:style>
  <w:style w:type="character" w:styleId="772" w:customStyle="1">
    <w:name w:val="Footer Char"/>
    <w:basedOn w:val="744"/>
    <w:uiPriority w:val="99"/>
  </w:style>
  <w:style w:type="paragraph" w:styleId="773">
    <w:name w:val="Caption"/>
    <w:basedOn w:val="734"/>
    <w:next w:val="734"/>
    <w:link w:val="774"/>
    <w:uiPriority w:val="35"/>
    <w:semiHidden/>
    <w:unhideWhenUsed/>
    <w:qFormat/>
    <w:pPr>
      <w:spacing w:line="276" w:lineRule="auto"/>
    </w:pPr>
    <w:rPr>
      <w:b/>
      <w:bCs/>
      <w:color w:val="5b9bd5" w:themeColor="accent1"/>
      <w:sz w:val="18"/>
      <w:szCs w:val="18"/>
    </w:rPr>
  </w:style>
  <w:style w:type="character" w:styleId="774" w:customStyle="1">
    <w:name w:val="Caption Char"/>
    <w:uiPriority w:val="99"/>
  </w:style>
  <w:style w:type="table" w:styleId="775" w:customStyle="1">
    <w:name w:val="Table Grid Light"/>
    <w:basedOn w:val="745"/>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76" w:customStyle="1">
    <w:name w:val="Plain Table 1"/>
    <w:basedOn w:val="745"/>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7" w:customStyle="1">
    <w:name w:val="Plain Table 2"/>
    <w:basedOn w:val="74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8" w:customStyle="1">
    <w:name w:val="Plain Table 3"/>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9" w:customStyle="1">
    <w:name w:val="Plain Table 4"/>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0" w:customStyle="1">
    <w:name w:val="Plain Table 5"/>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1" w:customStyle="1">
    <w:name w:val="Grid Table 1 Light"/>
    <w:basedOn w:val="745"/>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82" w:customStyle="1">
    <w:name w:val="Grid Table 1 Light - Accent 1"/>
    <w:basedOn w:val="745"/>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83" w:customStyle="1">
    <w:name w:val="Grid Table 1 Light - Accent 2"/>
    <w:basedOn w:val="745"/>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84" w:customStyle="1">
    <w:name w:val="Grid Table 1 Light - Accent 3"/>
    <w:basedOn w:val="745"/>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85" w:customStyle="1">
    <w:name w:val="Grid Table 1 Light - Accent 4"/>
    <w:basedOn w:val="745"/>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86" w:customStyle="1">
    <w:name w:val="Grid Table 1 Light - Accent 5"/>
    <w:basedOn w:val="745"/>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87" w:customStyle="1">
    <w:name w:val="Grid Table 1 Light - Accent 6"/>
    <w:basedOn w:val="745"/>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88" w:customStyle="1">
    <w:name w:val="Grid Table 2"/>
    <w:basedOn w:val="745"/>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9" w:customStyle="1">
    <w:name w:val="Grid Table 2 - Accent 1"/>
    <w:basedOn w:val="745"/>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90" w:customStyle="1">
    <w:name w:val="Grid Table 2 - Accent 2"/>
    <w:basedOn w:val="745"/>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91" w:customStyle="1">
    <w:name w:val="Grid Table 2 - Accent 3"/>
    <w:basedOn w:val="745"/>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92" w:customStyle="1">
    <w:name w:val="Grid Table 2 - Accent 4"/>
    <w:basedOn w:val="745"/>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93" w:customStyle="1">
    <w:name w:val="Grid Table 2 - Accent 5"/>
    <w:basedOn w:val="745"/>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94" w:customStyle="1">
    <w:name w:val="Grid Table 2 - Accent 6"/>
    <w:basedOn w:val="745"/>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95" w:customStyle="1">
    <w:name w:val="Grid Table 3"/>
    <w:basedOn w:val="745"/>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6" w:customStyle="1">
    <w:name w:val="Grid Table 3 - Accent 1"/>
    <w:basedOn w:val="745"/>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7" w:customStyle="1">
    <w:name w:val="Grid Table 3 - Accent 2"/>
    <w:basedOn w:val="745"/>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8" w:customStyle="1">
    <w:name w:val="Grid Table 3 - Accent 3"/>
    <w:basedOn w:val="745"/>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9" w:customStyle="1">
    <w:name w:val="Grid Table 3 - Accent 4"/>
    <w:basedOn w:val="745"/>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0" w:customStyle="1">
    <w:name w:val="Grid Table 3 - Accent 5"/>
    <w:basedOn w:val="745"/>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1" w:customStyle="1">
    <w:name w:val="Grid Table 3 - Accent 6"/>
    <w:basedOn w:val="745"/>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customStyle="1">
    <w:name w:val="Grid Table 4"/>
    <w:basedOn w:val="745"/>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3" w:customStyle="1">
    <w:name w:val="Grid Table 4 - Accent 1"/>
    <w:basedOn w:val="745"/>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04" w:customStyle="1">
    <w:name w:val="Grid Table 4 - Accent 2"/>
    <w:basedOn w:val="745"/>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05" w:customStyle="1">
    <w:name w:val="Grid Table 4 - Accent 3"/>
    <w:basedOn w:val="745"/>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06" w:customStyle="1">
    <w:name w:val="Grid Table 4 - Accent 4"/>
    <w:basedOn w:val="745"/>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07" w:customStyle="1">
    <w:name w:val="Grid Table 4 - Accent 5"/>
    <w:basedOn w:val="745"/>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08" w:customStyle="1">
    <w:name w:val="Grid Table 4 - Accent 6"/>
    <w:basedOn w:val="745"/>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09" w:customStyle="1">
    <w:name w:val="Grid Table 5 Dark"/>
    <w:basedOn w:val="74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10" w:customStyle="1">
    <w:name w:val="Grid Table 5 Dark- Accent 1"/>
    <w:basedOn w:val="74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11" w:customStyle="1">
    <w:name w:val="Grid Table 5 Dark - Accent 2"/>
    <w:basedOn w:val="74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12" w:customStyle="1">
    <w:name w:val="Grid Table 5 Dark - Accent 3"/>
    <w:basedOn w:val="74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13" w:customStyle="1">
    <w:name w:val="Grid Table 5 Dark- Accent 4"/>
    <w:basedOn w:val="74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14" w:customStyle="1">
    <w:name w:val="Grid Table 5 Dark - Accent 5"/>
    <w:basedOn w:val="74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15" w:customStyle="1">
    <w:name w:val="Grid Table 5 Dark - Accent 6"/>
    <w:basedOn w:val="74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16" w:customStyle="1">
    <w:name w:val="Grid Table 6 Colorful"/>
    <w:basedOn w:val="745"/>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17" w:customStyle="1">
    <w:name w:val="Grid Table 6 Colorful - Accent 1"/>
    <w:basedOn w:val="745"/>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18" w:customStyle="1">
    <w:name w:val="Grid Table 6 Colorful - Accent 2"/>
    <w:basedOn w:val="745"/>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19" w:customStyle="1">
    <w:name w:val="Grid Table 6 Colorful - Accent 3"/>
    <w:basedOn w:val="745"/>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20" w:customStyle="1">
    <w:name w:val="Grid Table 6 Colorful - Accent 4"/>
    <w:basedOn w:val="745"/>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21" w:customStyle="1">
    <w:name w:val="Grid Table 6 Colorful - Accent 5"/>
    <w:basedOn w:val="745"/>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22" w:customStyle="1">
    <w:name w:val="Grid Table 6 Colorful - Accent 6"/>
    <w:basedOn w:val="745"/>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23" w:customStyle="1">
    <w:name w:val="Grid Table 7 Colorful"/>
    <w:basedOn w:val="745"/>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24" w:customStyle="1">
    <w:name w:val="Grid Table 7 Colorful - Accent 1"/>
    <w:basedOn w:val="745"/>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825" w:customStyle="1">
    <w:name w:val="Grid Table 7 Colorful - Accent 2"/>
    <w:basedOn w:val="745"/>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26" w:customStyle="1">
    <w:name w:val="Grid Table 7 Colorful - Accent 3"/>
    <w:basedOn w:val="745"/>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27" w:customStyle="1">
    <w:name w:val="Grid Table 7 Colorful - Accent 4"/>
    <w:basedOn w:val="745"/>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28" w:customStyle="1">
    <w:name w:val="Grid Table 7 Colorful - Accent 5"/>
    <w:basedOn w:val="745"/>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829" w:customStyle="1">
    <w:name w:val="Grid Table 7 Colorful - Accent 6"/>
    <w:basedOn w:val="745"/>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30" w:customStyle="1">
    <w:name w:val="List Table 1 Light"/>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1" w:customStyle="1">
    <w:name w:val="List Table 1 Light - Accent 1"/>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32" w:customStyle="1">
    <w:name w:val="List Table 1 Light - Accent 2"/>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33" w:customStyle="1">
    <w:name w:val="List Table 1 Light - Accent 3"/>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34" w:customStyle="1">
    <w:name w:val="List Table 1 Light - Accent 4"/>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35" w:customStyle="1">
    <w:name w:val="List Table 1 Light - Accent 5"/>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36" w:customStyle="1">
    <w:name w:val="List Table 1 Light - Accent 6"/>
    <w:basedOn w:val="74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37" w:customStyle="1">
    <w:name w:val="List Table 2"/>
    <w:basedOn w:val="745"/>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38" w:customStyle="1">
    <w:name w:val="List Table 2 - Accent 1"/>
    <w:basedOn w:val="745"/>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39" w:customStyle="1">
    <w:name w:val="List Table 2 - Accent 2"/>
    <w:basedOn w:val="745"/>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40" w:customStyle="1">
    <w:name w:val="List Table 2 - Accent 3"/>
    <w:basedOn w:val="745"/>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41" w:customStyle="1">
    <w:name w:val="List Table 2 - Accent 4"/>
    <w:basedOn w:val="745"/>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42" w:customStyle="1">
    <w:name w:val="List Table 2 - Accent 5"/>
    <w:basedOn w:val="745"/>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43" w:customStyle="1">
    <w:name w:val="List Table 2 - Accent 6"/>
    <w:basedOn w:val="745"/>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44" w:customStyle="1">
    <w:name w:val="List Table 3"/>
    <w:basedOn w:val="74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5" w:customStyle="1">
    <w:name w:val="List Table 3 - Accent 1"/>
    <w:basedOn w:val="745"/>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46" w:customStyle="1">
    <w:name w:val="List Table 3 - Accent 2"/>
    <w:basedOn w:val="745"/>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47" w:customStyle="1">
    <w:name w:val="List Table 3 - Accent 3"/>
    <w:basedOn w:val="745"/>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48" w:customStyle="1">
    <w:name w:val="List Table 3 - Accent 4"/>
    <w:basedOn w:val="745"/>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49" w:customStyle="1">
    <w:name w:val="List Table 3 - Accent 5"/>
    <w:basedOn w:val="745"/>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50" w:customStyle="1">
    <w:name w:val="List Table 3 - Accent 6"/>
    <w:basedOn w:val="745"/>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51" w:customStyle="1">
    <w:name w:val="List Table 4"/>
    <w:basedOn w:val="74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2" w:customStyle="1">
    <w:name w:val="List Table 4 - Accent 1"/>
    <w:basedOn w:val="745"/>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53" w:customStyle="1">
    <w:name w:val="List Table 4 - Accent 2"/>
    <w:basedOn w:val="745"/>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54" w:customStyle="1">
    <w:name w:val="List Table 4 - Accent 3"/>
    <w:basedOn w:val="745"/>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55" w:customStyle="1">
    <w:name w:val="List Table 4 - Accent 4"/>
    <w:basedOn w:val="745"/>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56" w:customStyle="1">
    <w:name w:val="List Table 4 - Accent 5"/>
    <w:basedOn w:val="745"/>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57" w:customStyle="1">
    <w:name w:val="List Table 4 - Accent 6"/>
    <w:basedOn w:val="745"/>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58" w:customStyle="1">
    <w:name w:val="List Table 5 Dark"/>
    <w:basedOn w:val="745"/>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9" w:customStyle="1">
    <w:name w:val="List Table 5 Dark - Accent 1"/>
    <w:basedOn w:val="745"/>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60" w:customStyle="1">
    <w:name w:val="List Table 5 Dark - Accent 2"/>
    <w:basedOn w:val="745"/>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61" w:customStyle="1">
    <w:name w:val="List Table 5 Dark - Accent 3"/>
    <w:basedOn w:val="745"/>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62" w:customStyle="1">
    <w:name w:val="List Table 5 Dark - Accent 4"/>
    <w:basedOn w:val="745"/>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63" w:customStyle="1">
    <w:name w:val="List Table 5 Dark - Accent 5"/>
    <w:basedOn w:val="745"/>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64" w:customStyle="1">
    <w:name w:val="List Table 5 Dark - Accent 6"/>
    <w:basedOn w:val="745"/>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65" w:customStyle="1">
    <w:name w:val="List Table 6 Colorful"/>
    <w:basedOn w:val="745"/>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6" w:customStyle="1">
    <w:name w:val="List Table 6 Colorful - Accent 1"/>
    <w:basedOn w:val="745"/>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67" w:customStyle="1">
    <w:name w:val="List Table 6 Colorful - Accent 2"/>
    <w:basedOn w:val="745"/>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68" w:customStyle="1">
    <w:name w:val="List Table 6 Colorful - Accent 3"/>
    <w:basedOn w:val="745"/>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69" w:customStyle="1">
    <w:name w:val="List Table 6 Colorful - Accent 4"/>
    <w:basedOn w:val="745"/>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70" w:customStyle="1">
    <w:name w:val="List Table 6 Colorful - Accent 5"/>
    <w:basedOn w:val="745"/>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71" w:customStyle="1">
    <w:name w:val="List Table 6 Colorful - Accent 6"/>
    <w:basedOn w:val="745"/>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72" w:customStyle="1">
    <w:name w:val="List Table 7 Colorful"/>
    <w:basedOn w:val="745"/>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73" w:customStyle="1">
    <w:name w:val="List Table 7 Colorful - Accent 1"/>
    <w:basedOn w:val="745"/>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874" w:customStyle="1">
    <w:name w:val="List Table 7 Colorful - Accent 2"/>
    <w:basedOn w:val="745"/>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75" w:customStyle="1">
    <w:name w:val="List Table 7 Colorful - Accent 3"/>
    <w:basedOn w:val="745"/>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76" w:customStyle="1">
    <w:name w:val="List Table 7 Colorful - Accent 4"/>
    <w:basedOn w:val="745"/>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77" w:customStyle="1">
    <w:name w:val="List Table 7 Colorful - Accent 5"/>
    <w:basedOn w:val="745"/>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878" w:customStyle="1">
    <w:name w:val="List Table 7 Colorful - Accent 6"/>
    <w:basedOn w:val="745"/>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79" w:customStyle="1">
    <w:name w:val="Lined - Accent"/>
    <w:basedOn w:val="745"/>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0" w:customStyle="1">
    <w:name w:val="Lined - Accent 1"/>
    <w:basedOn w:val="745"/>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81" w:customStyle="1">
    <w:name w:val="Lined - Accent 2"/>
    <w:basedOn w:val="745"/>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82" w:customStyle="1">
    <w:name w:val="Lined - Accent 3"/>
    <w:basedOn w:val="745"/>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83" w:customStyle="1">
    <w:name w:val="Lined - Accent 4"/>
    <w:basedOn w:val="745"/>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84" w:customStyle="1">
    <w:name w:val="Lined - Accent 5"/>
    <w:basedOn w:val="745"/>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85" w:customStyle="1">
    <w:name w:val="Lined - Accent 6"/>
    <w:basedOn w:val="745"/>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86" w:customStyle="1">
    <w:name w:val="Bordered &amp; Lined - Accent"/>
    <w:basedOn w:val="745"/>
    <w:uiPriority w:val="99"/>
    <w:pPr>
      <w:spacing w:after="0" w:line="240" w:lineRule="auto"/>
    </w:pPr>
    <w:rPr>
      <w:color w:val="404040"/>
      <w:sz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7" w:customStyle="1">
    <w:name w:val="Bordered &amp; Lined - Accent 1"/>
    <w:basedOn w:val="745"/>
    <w:uiPriority w:val="99"/>
    <w:pPr>
      <w:spacing w:after="0" w:line="240" w:lineRule="auto"/>
    </w:pPr>
    <w:rPr>
      <w:color w:val="404040"/>
      <w:sz w:val="20"/>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88" w:customStyle="1">
    <w:name w:val="Bordered &amp; Lined - Accent 2"/>
    <w:basedOn w:val="745"/>
    <w:uiPriority w:val="99"/>
    <w:pPr>
      <w:spacing w:after="0" w:line="240" w:lineRule="auto"/>
    </w:pPr>
    <w:rPr>
      <w:color w:val="404040"/>
      <w:sz w:val="20"/>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89" w:customStyle="1">
    <w:name w:val="Bordered &amp; Lined - Accent 3"/>
    <w:basedOn w:val="745"/>
    <w:uiPriority w:val="99"/>
    <w:pPr>
      <w:spacing w:after="0" w:line="240" w:lineRule="auto"/>
    </w:pPr>
    <w:rPr>
      <w:color w:val="404040"/>
      <w:sz w:val="20"/>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90" w:customStyle="1">
    <w:name w:val="Bordered &amp; Lined - Accent 4"/>
    <w:basedOn w:val="745"/>
    <w:uiPriority w:val="99"/>
    <w:pPr>
      <w:spacing w:after="0" w:line="240" w:lineRule="auto"/>
    </w:pPr>
    <w:rPr>
      <w:color w:val="404040"/>
      <w:sz w:val="20"/>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1" w:customStyle="1">
    <w:name w:val="Bordered &amp; Lined - Accent 5"/>
    <w:basedOn w:val="745"/>
    <w:uiPriority w:val="99"/>
    <w:pPr>
      <w:spacing w:after="0" w:line="240" w:lineRule="auto"/>
    </w:pPr>
    <w:rPr>
      <w:color w:val="404040"/>
      <w:sz w:val="20"/>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92" w:customStyle="1">
    <w:name w:val="Bordered &amp; Lined - Accent 6"/>
    <w:basedOn w:val="745"/>
    <w:uiPriority w:val="99"/>
    <w:pPr>
      <w:spacing w:after="0" w:line="240" w:lineRule="auto"/>
    </w:pPr>
    <w:rPr>
      <w:color w:val="404040"/>
      <w:sz w:val="20"/>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93" w:customStyle="1">
    <w:name w:val="Bordered"/>
    <w:basedOn w:val="745"/>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94" w:customStyle="1">
    <w:name w:val="Bordered - Accent 1"/>
    <w:basedOn w:val="745"/>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95" w:customStyle="1">
    <w:name w:val="Bordered - Accent 2"/>
    <w:basedOn w:val="745"/>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96" w:customStyle="1">
    <w:name w:val="Bordered - Accent 3"/>
    <w:basedOn w:val="745"/>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97" w:customStyle="1">
    <w:name w:val="Bordered - Accent 4"/>
    <w:basedOn w:val="745"/>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98" w:customStyle="1">
    <w:name w:val="Bordered - Accent 5"/>
    <w:basedOn w:val="745"/>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99" w:customStyle="1">
    <w:name w:val="Bordered - Accent 6"/>
    <w:basedOn w:val="745"/>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00">
    <w:name w:val="footnote text"/>
    <w:basedOn w:val="734"/>
    <w:link w:val="901"/>
    <w:uiPriority w:val="99"/>
    <w:semiHidden/>
    <w:unhideWhenUsed/>
    <w:pPr>
      <w:spacing w:after="40"/>
    </w:pPr>
    <w:rPr>
      <w:sz w:val="18"/>
    </w:rPr>
  </w:style>
  <w:style w:type="character" w:styleId="901" w:customStyle="1">
    <w:name w:val="Текст сноски Знак"/>
    <w:link w:val="900"/>
    <w:uiPriority w:val="99"/>
    <w:rPr>
      <w:sz w:val="18"/>
    </w:rPr>
  </w:style>
  <w:style w:type="paragraph" w:styleId="902">
    <w:name w:val="endnote text"/>
    <w:basedOn w:val="734"/>
    <w:link w:val="903"/>
    <w:uiPriority w:val="99"/>
    <w:semiHidden/>
    <w:unhideWhenUsed/>
    <w:rPr>
      <w:sz w:val="20"/>
    </w:rPr>
  </w:style>
  <w:style w:type="character" w:styleId="903" w:customStyle="1">
    <w:name w:val="Текст концевой сноски Знак"/>
    <w:link w:val="902"/>
    <w:uiPriority w:val="99"/>
    <w:rPr>
      <w:sz w:val="20"/>
    </w:rPr>
  </w:style>
  <w:style w:type="character" w:styleId="904">
    <w:name w:val="endnote reference"/>
    <w:basedOn w:val="744"/>
    <w:uiPriority w:val="99"/>
    <w:semiHidden/>
    <w:unhideWhenUsed/>
    <w:rPr>
      <w:vertAlign w:val="superscript"/>
    </w:rPr>
  </w:style>
  <w:style w:type="paragraph" w:styleId="905">
    <w:name w:val="TOC Heading"/>
    <w:uiPriority w:val="39"/>
    <w:unhideWhenUsed/>
  </w:style>
  <w:style w:type="paragraph" w:styleId="906">
    <w:name w:val="table of figures"/>
    <w:basedOn w:val="734"/>
    <w:next w:val="734"/>
    <w:uiPriority w:val="99"/>
    <w:unhideWhenUsed/>
  </w:style>
  <w:style w:type="character" w:styleId="907" w:customStyle="1">
    <w:name w:val="Обычный1"/>
    <w:rPr>
      <w:rFonts w:ascii="Times New Roman" w:hAnsi="Times New Roman"/>
      <w:sz w:val="24"/>
    </w:rPr>
  </w:style>
  <w:style w:type="paragraph" w:styleId="908">
    <w:name w:val="toc 2"/>
    <w:next w:val="734"/>
    <w:link w:val="909"/>
    <w:uiPriority w:val="39"/>
    <w:pPr>
      <w:ind w:left="200"/>
    </w:pPr>
    <w:rPr>
      <w:rFonts w:ascii="XO Thames" w:hAnsi="XO Thames"/>
      <w:sz w:val="28"/>
    </w:rPr>
  </w:style>
  <w:style w:type="character" w:styleId="909" w:customStyle="1">
    <w:name w:val="Оглавление 2 Знак"/>
    <w:link w:val="908"/>
    <w:rPr>
      <w:rFonts w:ascii="XO Thames" w:hAnsi="XO Thames"/>
      <w:sz w:val="28"/>
    </w:rPr>
  </w:style>
  <w:style w:type="paragraph" w:styleId="910">
    <w:name w:val="Body Text"/>
    <w:basedOn w:val="734"/>
    <w:link w:val="911"/>
    <w:pPr>
      <w:jc w:val="both"/>
    </w:pPr>
  </w:style>
  <w:style w:type="character" w:styleId="911" w:customStyle="1">
    <w:name w:val="Основной текст Знак"/>
    <w:basedOn w:val="907"/>
    <w:link w:val="910"/>
    <w:rPr>
      <w:rFonts w:ascii="Times New Roman" w:hAnsi="Times New Roman"/>
      <w:sz w:val="24"/>
    </w:rPr>
  </w:style>
  <w:style w:type="paragraph" w:styleId="912">
    <w:name w:val="toc 4"/>
    <w:next w:val="734"/>
    <w:link w:val="913"/>
    <w:uiPriority w:val="39"/>
    <w:pPr>
      <w:ind w:left="600"/>
    </w:pPr>
    <w:rPr>
      <w:rFonts w:ascii="XO Thames" w:hAnsi="XO Thames"/>
      <w:sz w:val="28"/>
    </w:rPr>
  </w:style>
  <w:style w:type="character" w:styleId="913" w:customStyle="1">
    <w:name w:val="Оглавление 4 Знак"/>
    <w:link w:val="912"/>
    <w:rPr>
      <w:rFonts w:ascii="XO Thames" w:hAnsi="XO Thames"/>
      <w:sz w:val="28"/>
    </w:rPr>
  </w:style>
  <w:style w:type="paragraph" w:styleId="914">
    <w:name w:val="toc 6"/>
    <w:next w:val="734"/>
    <w:link w:val="915"/>
    <w:uiPriority w:val="39"/>
    <w:pPr>
      <w:ind w:left="1000"/>
    </w:pPr>
    <w:rPr>
      <w:rFonts w:ascii="XO Thames" w:hAnsi="XO Thames"/>
      <w:sz w:val="28"/>
    </w:rPr>
  </w:style>
  <w:style w:type="character" w:styleId="915" w:customStyle="1">
    <w:name w:val="Оглавление 6 Знак"/>
    <w:link w:val="914"/>
    <w:rPr>
      <w:rFonts w:ascii="XO Thames" w:hAnsi="XO Thames"/>
      <w:sz w:val="28"/>
    </w:rPr>
  </w:style>
  <w:style w:type="paragraph" w:styleId="916">
    <w:name w:val="Body Text Indent 2"/>
    <w:basedOn w:val="734"/>
    <w:link w:val="917"/>
    <w:pPr>
      <w:ind w:firstLine="720"/>
      <w:jc w:val="both"/>
    </w:pPr>
  </w:style>
  <w:style w:type="character" w:styleId="917" w:customStyle="1">
    <w:name w:val="Основной текст с отступом 2 Знак"/>
    <w:basedOn w:val="907"/>
    <w:link w:val="916"/>
    <w:rPr>
      <w:rFonts w:ascii="Times New Roman" w:hAnsi="Times New Roman"/>
      <w:sz w:val="24"/>
    </w:rPr>
  </w:style>
  <w:style w:type="paragraph" w:styleId="918">
    <w:name w:val="toc 7"/>
    <w:next w:val="734"/>
    <w:link w:val="919"/>
    <w:uiPriority w:val="39"/>
    <w:pPr>
      <w:ind w:left="1200"/>
    </w:pPr>
    <w:rPr>
      <w:rFonts w:ascii="XO Thames" w:hAnsi="XO Thames"/>
      <w:sz w:val="28"/>
    </w:rPr>
  </w:style>
  <w:style w:type="character" w:styleId="919" w:customStyle="1">
    <w:name w:val="Оглавление 7 Знак"/>
    <w:link w:val="918"/>
    <w:rPr>
      <w:rFonts w:ascii="XO Thames" w:hAnsi="XO Thames"/>
      <w:sz w:val="28"/>
    </w:rPr>
  </w:style>
  <w:style w:type="paragraph" w:styleId="920" w:customStyle="1">
    <w:name w:val="Style1"/>
    <w:basedOn w:val="734"/>
    <w:link w:val="921"/>
    <w:pPr>
      <w:ind w:firstLine="547"/>
      <w:jc w:val="both"/>
      <w:spacing w:line="274" w:lineRule="exact"/>
      <w:widowControl w:val="off"/>
    </w:pPr>
    <w:rPr>
      <w:rFonts w:ascii="Calibri" w:hAnsi="Calibri"/>
    </w:rPr>
  </w:style>
  <w:style w:type="character" w:styleId="921" w:customStyle="1">
    <w:name w:val="Style1"/>
    <w:basedOn w:val="907"/>
    <w:link w:val="920"/>
    <w:rPr>
      <w:rFonts w:ascii="Calibri" w:hAnsi="Calibri"/>
      <w:sz w:val="24"/>
    </w:rPr>
  </w:style>
  <w:style w:type="paragraph" w:styleId="922" w:customStyle="1">
    <w:name w:val="Endnote"/>
    <w:link w:val="923"/>
    <w:pPr>
      <w:ind w:firstLine="851"/>
      <w:jc w:val="both"/>
    </w:pPr>
    <w:rPr>
      <w:rFonts w:ascii="XO Thames" w:hAnsi="XO Thames"/>
    </w:rPr>
  </w:style>
  <w:style w:type="character" w:styleId="923" w:customStyle="1">
    <w:name w:val="Endnote"/>
    <w:link w:val="922"/>
    <w:rPr>
      <w:rFonts w:ascii="XO Thames" w:hAnsi="XO Thames"/>
      <w:sz w:val="22"/>
    </w:rPr>
  </w:style>
  <w:style w:type="character" w:styleId="924" w:customStyle="1">
    <w:name w:val="Заголовок 3 Знак"/>
    <w:link w:val="737"/>
    <w:rPr>
      <w:rFonts w:ascii="XO Thames" w:hAnsi="XO Thames"/>
      <w:b/>
      <w:sz w:val="26"/>
    </w:rPr>
  </w:style>
  <w:style w:type="paragraph" w:styleId="925">
    <w:name w:val="annotation text"/>
    <w:basedOn w:val="734"/>
    <w:link w:val="926"/>
    <w:pPr>
      <w:spacing w:after="160"/>
    </w:pPr>
    <w:rPr>
      <w:rFonts w:asciiTheme="minorHAnsi" w:hAnsiTheme="minorHAnsi"/>
      <w:sz w:val="20"/>
    </w:rPr>
  </w:style>
  <w:style w:type="character" w:styleId="926" w:customStyle="1">
    <w:name w:val="Текст примечания Знак"/>
    <w:basedOn w:val="907"/>
    <w:link w:val="925"/>
    <w:rPr>
      <w:rFonts w:asciiTheme="minorHAnsi" w:hAnsiTheme="minorHAnsi"/>
      <w:sz w:val="20"/>
    </w:rPr>
  </w:style>
  <w:style w:type="paragraph" w:styleId="927">
    <w:name w:val="Body Text 3"/>
    <w:basedOn w:val="734"/>
    <w:link w:val="928"/>
    <w:pPr>
      <w:spacing w:line="264" w:lineRule="auto"/>
    </w:pPr>
    <w:rPr>
      <w:sz w:val="28"/>
    </w:rPr>
  </w:style>
  <w:style w:type="character" w:styleId="928" w:customStyle="1">
    <w:name w:val="Основной текст 3 Знак"/>
    <w:basedOn w:val="907"/>
    <w:link w:val="927"/>
    <w:rPr>
      <w:rFonts w:ascii="Times New Roman" w:hAnsi="Times New Roman"/>
      <w:sz w:val="28"/>
    </w:rPr>
  </w:style>
  <w:style w:type="paragraph" w:styleId="929">
    <w:name w:val="List Paragraph"/>
    <w:basedOn w:val="734"/>
    <w:link w:val="930"/>
    <w:pPr>
      <w:contextualSpacing/>
      <w:ind w:left="720"/>
      <w:spacing w:after="200" w:line="276" w:lineRule="auto"/>
    </w:pPr>
    <w:rPr>
      <w:rFonts w:ascii="Calibri" w:hAnsi="Calibri"/>
      <w:sz w:val="22"/>
    </w:rPr>
  </w:style>
  <w:style w:type="character" w:styleId="930" w:customStyle="1">
    <w:name w:val="Абзац списка Знак"/>
    <w:basedOn w:val="907"/>
    <w:link w:val="929"/>
    <w:rPr>
      <w:rFonts w:ascii="Calibri" w:hAnsi="Calibri"/>
      <w:sz w:val="22"/>
    </w:rPr>
  </w:style>
  <w:style w:type="paragraph" w:styleId="931" w:customStyle="1">
    <w:name w:val="TextBoldCenter"/>
    <w:basedOn w:val="734"/>
    <w:link w:val="932"/>
    <w:pPr>
      <w:jc w:val="center"/>
      <w:spacing w:before="283"/>
    </w:pPr>
    <w:rPr>
      <w:b/>
      <w:sz w:val="26"/>
    </w:rPr>
  </w:style>
  <w:style w:type="character" w:styleId="932" w:customStyle="1">
    <w:name w:val="TextBoldCenter"/>
    <w:basedOn w:val="907"/>
    <w:link w:val="931"/>
    <w:rPr>
      <w:rFonts w:ascii="Times New Roman" w:hAnsi="Times New Roman"/>
      <w:b/>
      <w:sz w:val="26"/>
    </w:rPr>
  </w:style>
  <w:style w:type="paragraph" w:styleId="933">
    <w:name w:val="Header"/>
    <w:basedOn w:val="734"/>
    <w:link w:val="934"/>
    <w:pPr>
      <w:tabs>
        <w:tab w:val="center" w:pos="4677" w:leader="none"/>
        <w:tab w:val="right" w:pos="9355" w:leader="none"/>
      </w:tabs>
    </w:pPr>
    <w:rPr>
      <w:sz w:val="20"/>
    </w:rPr>
  </w:style>
  <w:style w:type="character" w:styleId="934" w:customStyle="1">
    <w:name w:val="Верхний колонтитул Знак"/>
    <w:basedOn w:val="907"/>
    <w:link w:val="933"/>
    <w:rPr>
      <w:rFonts w:ascii="Times New Roman" w:hAnsi="Times New Roman"/>
      <w:sz w:val="20"/>
    </w:rPr>
  </w:style>
  <w:style w:type="paragraph" w:styleId="935">
    <w:name w:val="Normal (Web)"/>
    <w:basedOn w:val="734"/>
    <w:link w:val="936"/>
    <w:pPr>
      <w:spacing w:beforeAutospacing="1" w:afterAutospacing="1"/>
    </w:pPr>
  </w:style>
  <w:style w:type="character" w:styleId="936" w:customStyle="1">
    <w:name w:val="Обычный (веб) Знак"/>
    <w:basedOn w:val="907"/>
    <w:link w:val="935"/>
    <w:rPr>
      <w:rFonts w:ascii="Times New Roman" w:hAnsi="Times New Roman"/>
      <w:sz w:val="24"/>
    </w:rPr>
  </w:style>
  <w:style w:type="paragraph" w:styleId="937" w:customStyle="1">
    <w:name w:val="StGen0"/>
    <w:link w:val="938"/>
    <w:semiHidden/>
    <w:unhideWhenUsed/>
    <w:pPr>
      <w:spacing w:after="0" w:line="240" w:lineRule="auto"/>
    </w:pPr>
  </w:style>
  <w:style w:type="character" w:styleId="938" w:customStyle="1">
    <w:name w:val="StGen1"/>
    <w:link w:val="937"/>
    <w:semiHidden/>
    <w:unhideWhenUsed/>
  </w:style>
  <w:style w:type="paragraph" w:styleId="939" w:customStyle="1">
    <w:name w:val="Style5"/>
    <w:basedOn w:val="734"/>
    <w:link w:val="940"/>
    <w:pPr>
      <w:ind w:firstLine="168"/>
      <w:jc w:val="both"/>
      <w:spacing w:line="290" w:lineRule="exact"/>
      <w:widowControl w:val="off"/>
    </w:pPr>
    <w:rPr>
      <w:rFonts w:ascii="Calibri" w:hAnsi="Calibri"/>
    </w:rPr>
  </w:style>
  <w:style w:type="character" w:styleId="940" w:customStyle="1">
    <w:name w:val="Style5"/>
    <w:basedOn w:val="907"/>
    <w:link w:val="939"/>
    <w:rPr>
      <w:rFonts w:ascii="Calibri" w:hAnsi="Calibri"/>
      <w:sz w:val="24"/>
    </w:rPr>
  </w:style>
  <w:style w:type="paragraph" w:styleId="941" w:customStyle="1">
    <w:name w:val="TextBasTxt"/>
    <w:basedOn w:val="734"/>
    <w:link w:val="942"/>
    <w:pPr>
      <w:ind w:firstLine="567"/>
      <w:jc w:val="both"/>
    </w:pPr>
  </w:style>
  <w:style w:type="character" w:styleId="942" w:customStyle="1">
    <w:name w:val="TextBasTxt"/>
    <w:basedOn w:val="907"/>
    <w:link w:val="941"/>
    <w:rPr>
      <w:rFonts w:ascii="Times New Roman" w:hAnsi="Times New Roman"/>
      <w:sz w:val="24"/>
    </w:rPr>
  </w:style>
  <w:style w:type="paragraph" w:styleId="943" w:customStyle="1">
    <w:name w:val="Основной шрифт абзаца1"/>
  </w:style>
  <w:style w:type="paragraph" w:styleId="944" w:customStyle="1">
    <w:name w:val="Обычный1"/>
    <w:link w:val="945"/>
    <w:pPr>
      <w:ind w:firstLine="560"/>
      <w:spacing w:after="0" w:line="300" w:lineRule="auto"/>
      <w:widowControl w:val="off"/>
    </w:pPr>
    <w:rPr>
      <w:rFonts w:ascii="Times New Roman" w:hAnsi="Times New Roman"/>
    </w:rPr>
  </w:style>
  <w:style w:type="character" w:styleId="945" w:customStyle="1">
    <w:name w:val="Обычный1"/>
    <w:link w:val="944"/>
    <w:rPr>
      <w:rFonts w:ascii="Times New Roman" w:hAnsi="Times New Roman"/>
    </w:rPr>
  </w:style>
  <w:style w:type="paragraph" w:styleId="946">
    <w:name w:val="Body Text Indent 3"/>
    <w:basedOn w:val="734"/>
    <w:link w:val="947"/>
    <w:pPr>
      <w:ind w:firstLine="720"/>
      <w:jc w:val="both"/>
      <w:spacing w:after="120"/>
    </w:pPr>
    <w:rPr>
      <w:b/>
      <w:sz w:val="28"/>
    </w:rPr>
  </w:style>
  <w:style w:type="character" w:styleId="947" w:customStyle="1">
    <w:name w:val="Основной текст с отступом 3 Знак"/>
    <w:basedOn w:val="907"/>
    <w:link w:val="946"/>
    <w:rPr>
      <w:rFonts w:ascii="Times New Roman" w:hAnsi="Times New Roman"/>
      <w:b/>
      <w:sz w:val="28"/>
    </w:rPr>
  </w:style>
  <w:style w:type="paragraph" w:styleId="948" w:customStyle="1">
    <w:name w:val="Знак примечания1"/>
    <w:basedOn w:val="943"/>
    <w:link w:val="949"/>
    <w:rPr>
      <w:sz w:val="16"/>
    </w:rPr>
  </w:style>
  <w:style w:type="character" w:styleId="949">
    <w:name w:val="annotation reference"/>
    <w:basedOn w:val="744"/>
    <w:link w:val="948"/>
    <w:rPr>
      <w:sz w:val="16"/>
    </w:rPr>
  </w:style>
  <w:style w:type="paragraph" w:styleId="950">
    <w:name w:val="toc 3"/>
    <w:next w:val="734"/>
    <w:link w:val="951"/>
    <w:uiPriority w:val="39"/>
    <w:pPr>
      <w:ind w:left="400"/>
    </w:pPr>
    <w:rPr>
      <w:rFonts w:ascii="XO Thames" w:hAnsi="XO Thames"/>
      <w:sz w:val="28"/>
    </w:rPr>
  </w:style>
  <w:style w:type="character" w:styleId="951" w:customStyle="1">
    <w:name w:val="Оглавление 3 Знак"/>
    <w:link w:val="950"/>
    <w:rPr>
      <w:rFonts w:ascii="XO Thames" w:hAnsi="XO Thames"/>
      <w:sz w:val="28"/>
    </w:rPr>
  </w:style>
  <w:style w:type="paragraph" w:styleId="952">
    <w:name w:val="annotation subject"/>
    <w:basedOn w:val="925"/>
    <w:next w:val="925"/>
    <w:link w:val="953"/>
    <w:rPr>
      <w:b/>
    </w:rPr>
  </w:style>
  <w:style w:type="character" w:styleId="953" w:customStyle="1">
    <w:name w:val="Тема примечания Знак"/>
    <w:basedOn w:val="926"/>
    <w:link w:val="952"/>
    <w:rPr>
      <w:rFonts w:asciiTheme="minorHAnsi" w:hAnsiTheme="minorHAnsi"/>
      <w:b/>
      <w:sz w:val="20"/>
    </w:rPr>
  </w:style>
  <w:style w:type="paragraph" w:styleId="954" w:customStyle="1">
    <w:name w:val="Знак Знак Знак Знак"/>
    <w:basedOn w:val="734"/>
    <w:link w:val="955"/>
    <w:pPr>
      <w:spacing w:after="160" w:line="240" w:lineRule="exact"/>
    </w:pPr>
  </w:style>
  <w:style w:type="character" w:styleId="955" w:customStyle="1">
    <w:name w:val="Знак Знак Знак Знак"/>
    <w:basedOn w:val="907"/>
    <w:link w:val="954"/>
    <w:rPr>
      <w:rFonts w:ascii="Times New Roman" w:hAnsi="Times New Roman"/>
      <w:sz w:val="24"/>
    </w:rPr>
  </w:style>
  <w:style w:type="paragraph" w:styleId="956" w:customStyle="1">
    <w:name w:val="Номер страницы1"/>
    <w:basedOn w:val="943"/>
    <w:link w:val="957"/>
  </w:style>
  <w:style w:type="character" w:styleId="957">
    <w:name w:val="page number"/>
    <w:basedOn w:val="744"/>
    <w:link w:val="956"/>
  </w:style>
  <w:style w:type="character" w:styleId="958" w:customStyle="1">
    <w:name w:val="Заголовок 5 Знак"/>
    <w:link w:val="739"/>
    <w:rPr>
      <w:rFonts w:ascii="XO Thames" w:hAnsi="XO Thames"/>
      <w:b/>
      <w:sz w:val="22"/>
    </w:rPr>
  </w:style>
  <w:style w:type="character" w:styleId="959" w:customStyle="1">
    <w:name w:val="Заголовок 1 Знак"/>
    <w:basedOn w:val="907"/>
    <w:link w:val="735"/>
    <w:rPr>
      <w:rFonts w:ascii="Arial" w:hAnsi="Arial"/>
      <w:b/>
      <w:sz w:val="32"/>
    </w:rPr>
  </w:style>
  <w:style w:type="paragraph" w:styleId="960" w:customStyle="1">
    <w:name w:val="Гиперссылка1"/>
    <w:link w:val="961"/>
    <w:rPr>
      <w:color w:val="0000ff"/>
      <w:u w:val="single"/>
    </w:rPr>
  </w:style>
  <w:style w:type="character" w:styleId="961">
    <w:name w:val="Hyperlink"/>
    <w:link w:val="960"/>
    <w:rPr>
      <w:color w:val="0000ff"/>
      <w:u w:val="single"/>
    </w:rPr>
  </w:style>
  <w:style w:type="paragraph" w:styleId="962" w:customStyle="1">
    <w:name w:val="Footnote"/>
    <w:basedOn w:val="734"/>
    <w:link w:val="963"/>
    <w:rPr>
      <w:sz w:val="20"/>
    </w:rPr>
  </w:style>
  <w:style w:type="character" w:styleId="963" w:customStyle="1">
    <w:name w:val="Footnote"/>
    <w:basedOn w:val="907"/>
    <w:link w:val="962"/>
    <w:rPr>
      <w:rFonts w:ascii="Times New Roman" w:hAnsi="Times New Roman"/>
      <w:sz w:val="20"/>
    </w:rPr>
  </w:style>
  <w:style w:type="paragraph" w:styleId="964">
    <w:name w:val="Footer"/>
    <w:basedOn w:val="734"/>
    <w:link w:val="965"/>
    <w:pPr>
      <w:tabs>
        <w:tab w:val="center" w:pos="4677" w:leader="none"/>
        <w:tab w:val="right" w:pos="9355" w:leader="none"/>
      </w:tabs>
    </w:pPr>
    <w:rPr>
      <w:rFonts w:asciiTheme="minorHAnsi" w:hAnsiTheme="minorHAnsi"/>
      <w:sz w:val="22"/>
    </w:rPr>
  </w:style>
  <w:style w:type="character" w:styleId="965" w:customStyle="1">
    <w:name w:val="Нижний колонтитул Знак"/>
    <w:basedOn w:val="907"/>
    <w:link w:val="964"/>
    <w:rPr>
      <w:rFonts w:asciiTheme="minorHAnsi" w:hAnsiTheme="minorHAnsi"/>
      <w:sz w:val="22"/>
    </w:rPr>
  </w:style>
  <w:style w:type="paragraph" w:styleId="966">
    <w:name w:val="toc 1"/>
    <w:next w:val="734"/>
    <w:link w:val="967"/>
    <w:uiPriority w:val="39"/>
    <w:rPr>
      <w:rFonts w:ascii="XO Thames" w:hAnsi="XO Thames"/>
      <w:b/>
      <w:sz w:val="28"/>
    </w:rPr>
  </w:style>
  <w:style w:type="character" w:styleId="967" w:customStyle="1">
    <w:name w:val="Оглавление 1 Знак"/>
    <w:link w:val="966"/>
    <w:rPr>
      <w:rFonts w:ascii="XO Thames" w:hAnsi="XO Thames"/>
      <w:b/>
      <w:sz w:val="28"/>
    </w:rPr>
  </w:style>
  <w:style w:type="paragraph" w:styleId="968" w:customStyle="1">
    <w:name w:val="Header and Footer"/>
    <w:link w:val="969"/>
    <w:pPr>
      <w:jc w:val="both"/>
      <w:spacing w:line="240" w:lineRule="auto"/>
    </w:pPr>
    <w:rPr>
      <w:rFonts w:ascii="XO Thames" w:hAnsi="XO Thames"/>
      <w:sz w:val="20"/>
    </w:rPr>
  </w:style>
  <w:style w:type="character" w:styleId="969" w:customStyle="1">
    <w:name w:val="Header and Footer"/>
    <w:link w:val="968"/>
    <w:rPr>
      <w:rFonts w:ascii="XO Thames" w:hAnsi="XO Thames"/>
      <w:sz w:val="20"/>
    </w:rPr>
  </w:style>
  <w:style w:type="paragraph" w:styleId="970" w:customStyle="1">
    <w:name w:val="Font Style11"/>
    <w:basedOn w:val="943"/>
    <w:link w:val="971"/>
    <w:rPr>
      <w:rFonts w:ascii="Times New Roman" w:hAnsi="Times New Roman"/>
      <w:b/>
      <w:sz w:val="20"/>
    </w:rPr>
  </w:style>
  <w:style w:type="character" w:styleId="971" w:customStyle="1">
    <w:name w:val="Font Style11"/>
    <w:basedOn w:val="744"/>
    <w:link w:val="970"/>
    <w:rPr>
      <w:rFonts w:ascii="Times New Roman" w:hAnsi="Times New Roman"/>
      <w:b/>
      <w:sz w:val="20"/>
    </w:rPr>
  </w:style>
  <w:style w:type="paragraph" w:styleId="972">
    <w:name w:val="toc 9"/>
    <w:next w:val="734"/>
    <w:link w:val="973"/>
    <w:uiPriority w:val="39"/>
    <w:pPr>
      <w:ind w:left="1600"/>
    </w:pPr>
    <w:rPr>
      <w:rFonts w:ascii="XO Thames" w:hAnsi="XO Thames"/>
      <w:sz w:val="28"/>
    </w:rPr>
  </w:style>
  <w:style w:type="character" w:styleId="973" w:customStyle="1">
    <w:name w:val="Оглавление 9 Знак"/>
    <w:link w:val="972"/>
    <w:rPr>
      <w:rFonts w:ascii="XO Thames" w:hAnsi="XO Thames"/>
      <w:sz w:val="28"/>
    </w:rPr>
  </w:style>
  <w:style w:type="paragraph" w:styleId="974">
    <w:name w:val="Body Text Indent"/>
    <w:basedOn w:val="734"/>
    <w:link w:val="975"/>
    <w:pPr>
      <w:ind w:left="283"/>
      <w:spacing w:after="120"/>
    </w:pPr>
    <w:rPr>
      <w:sz w:val="20"/>
    </w:rPr>
  </w:style>
  <w:style w:type="character" w:styleId="975" w:customStyle="1">
    <w:name w:val="Основной текст с отступом Знак"/>
    <w:basedOn w:val="907"/>
    <w:link w:val="974"/>
    <w:rPr>
      <w:rFonts w:ascii="Times New Roman" w:hAnsi="Times New Roman"/>
      <w:sz w:val="20"/>
    </w:rPr>
  </w:style>
  <w:style w:type="paragraph" w:styleId="976">
    <w:name w:val="Body Text 2"/>
    <w:basedOn w:val="734"/>
    <w:link w:val="977"/>
    <w:pPr>
      <w:ind w:left="284" w:hanging="284"/>
      <w:jc w:val="both"/>
      <w:tabs>
        <w:tab w:val="left" w:pos="284" w:leader="none"/>
      </w:tabs>
    </w:pPr>
  </w:style>
  <w:style w:type="character" w:styleId="977" w:customStyle="1">
    <w:name w:val="Основной текст 2 Знак"/>
    <w:basedOn w:val="907"/>
    <w:link w:val="976"/>
    <w:rPr>
      <w:rFonts w:ascii="Times New Roman" w:hAnsi="Times New Roman"/>
      <w:sz w:val="24"/>
    </w:rPr>
  </w:style>
  <w:style w:type="paragraph" w:styleId="978">
    <w:name w:val="toc 8"/>
    <w:next w:val="734"/>
    <w:link w:val="979"/>
    <w:uiPriority w:val="39"/>
    <w:pPr>
      <w:ind w:left="1400"/>
    </w:pPr>
    <w:rPr>
      <w:rFonts w:ascii="XO Thames" w:hAnsi="XO Thames"/>
      <w:sz w:val="28"/>
    </w:rPr>
  </w:style>
  <w:style w:type="character" w:styleId="979" w:customStyle="1">
    <w:name w:val="Оглавление 8 Знак"/>
    <w:link w:val="978"/>
    <w:rPr>
      <w:rFonts w:ascii="XO Thames" w:hAnsi="XO Thames"/>
      <w:sz w:val="28"/>
    </w:rPr>
  </w:style>
  <w:style w:type="paragraph" w:styleId="980">
    <w:name w:val="toc 5"/>
    <w:next w:val="734"/>
    <w:link w:val="981"/>
    <w:uiPriority w:val="39"/>
    <w:pPr>
      <w:ind w:left="800"/>
    </w:pPr>
    <w:rPr>
      <w:rFonts w:ascii="XO Thames" w:hAnsi="XO Thames"/>
      <w:sz w:val="28"/>
    </w:rPr>
  </w:style>
  <w:style w:type="character" w:styleId="981" w:customStyle="1">
    <w:name w:val="Оглавление 5 Знак"/>
    <w:link w:val="980"/>
    <w:rPr>
      <w:rFonts w:ascii="XO Thames" w:hAnsi="XO Thames"/>
      <w:sz w:val="28"/>
    </w:rPr>
  </w:style>
  <w:style w:type="paragraph" w:styleId="982" w:customStyle="1">
    <w:name w:val="Font Style13"/>
    <w:basedOn w:val="943"/>
    <w:link w:val="983"/>
    <w:rPr>
      <w:rFonts w:ascii="Times New Roman" w:hAnsi="Times New Roman"/>
    </w:rPr>
  </w:style>
  <w:style w:type="character" w:styleId="983" w:customStyle="1">
    <w:name w:val="Font Style13"/>
    <w:basedOn w:val="744"/>
    <w:link w:val="982"/>
    <w:rPr>
      <w:rFonts w:ascii="Times New Roman" w:hAnsi="Times New Roman"/>
    </w:rPr>
  </w:style>
  <w:style w:type="paragraph" w:styleId="984">
    <w:name w:val="Balloon Text"/>
    <w:basedOn w:val="734"/>
    <w:link w:val="985"/>
    <w:rPr>
      <w:rFonts w:ascii="Tahoma" w:hAnsi="Tahoma"/>
      <w:sz w:val="16"/>
    </w:rPr>
  </w:style>
  <w:style w:type="character" w:styleId="985" w:customStyle="1">
    <w:name w:val="Текст выноски Знак"/>
    <w:basedOn w:val="907"/>
    <w:link w:val="984"/>
    <w:rPr>
      <w:rFonts w:ascii="Tahoma" w:hAnsi="Tahoma"/>
      <w:sz w:val="16"/>
    </w:rPr>
  </w:style>
  <w:style w:type="paragraph" w:styleId="986">
    <w:name w:val="Subtitle"/>
    <w:next w:val="734"/>
    <w:link w:val="987"/>
    <w:uiPriority w:val="11"/>
    <w:qFormat/>
    <w:pPr>
      <w:jc w:val="both"/>
    </w:pPr>
    <w:rPr>
      <w:rFonts w:ascii="XO Thames" w:hAnsi="XO Thames"/>
      <w:i/>
      <w:sz w:val="24"/>
    </w:rPr>
  </w:style>
  <w:style w:type="character" w:styleId="987" w:customStyle="1">
    <w:name w:val="Подзаголовок Знак"/>
    <w:link w:val="986"/>
    <w:rPr>
      <w:rFonts w:ascii="XO Thames" w:hAnsi="XO Thames"/>
      <w:i/>
      <w:sz w:val="24"/>
    </w:rPr>
  </w:style>
  <w:style w:type="paragraph" w:styleId="988" w:customStyle="1">
    <w:name w:val="Знак"/>
    <w:basedOn w:val="734"/>
    <w:link w:val="989"/>
    <w:pPr>
      <w:spacing w:after="160" w:line="240" w:lineRule="exact"/>
    </w:pPr>
  </w:style>
  <w:style w:type="character" w:styleId="989" w:customStyle="1">
    <w:name w:val="Знак"/>
    <w:basedOn w:val="907"/>
    <w:link w:val="988"/>
    <w:rPr>
      <w:rFonts w:ascii="Times New Roman" w:hAnsi="Times New Roman"/>
      <w:sz w:val="24"/>
    </w:rPr>
  </w:style>
  <w:style w:type="paragraph" w:styleId="990" w:customStyle="1">
    <w:name w:val="Знак сноски1"/>
    <w:link w:val="991"/>
    <w:rPr>
      <w:vertAlign w:val="superscript"/>
    </w:rPr>
  </w:style>
  <w:style w:type="character" w:styleId="991">
    <w:name w:val="footnote reference"/>
    <w:link w:val="990"/>
    <w:rPr>
      <w:vertAlign w:val="superscript"/>
    </w:rPr>
  </w:style>
  <w:style w:type="paragraph" w:styleId="992">
    <w:name w:val="Title"/>
    <w:next w:val="734"/>
    <w:link w:val="993"/>
    <w:uiPriority w:val="10"/>
    <w:qFormat/>
    <w:pPr>
      <w:jc w:val="center"/>
      <w:spacing w:before="567" w:after="567"/>
    </w:pPr>
    <w:rPr>
      <w:rFonts w:ascii="XO Thames" w:hAnsi="XO Thames"/>
      <w:b/>
      <w:caps/>
      <w:sz w:val="40"/>
    </w:rPr>
  </w:style>
  <w:style w:type="character" w:styleId="993" w:customStyle="1">
    <w:name w:val="Название Знак"/>
    <w:link w:val="992"/>
    <w:rPr>
      <w:rFonts w:ascii="XO Thames" w:hAnsi="XO Thames"/>
      <w:b/>
      <w:caps/>
      <w:sz w:val="40"/>
    </w:rPr>
  </w:style>
  <w:style w:type="character" w:styleId="994" w:customStyle="1">
    <w:name w:val="Заголовок 4 Знак"/>
    <w:link w:val="738"/>
    <w:rPr>
      <w:rFonts w:ascii="XO Thames" w:hAnsi="XO Thames"/>
      <w:b/>
      <w:sz w:val="24"/>
    </w:rPr>
  </w:style>
  <w:style w:type="character" w:styleId="995" w:customStyle="1">
    <w:name w:val="Заголовок 2 Знак"/>
    <w:basedOn w:val="907"/>
    <w:link w:val="736"/>
    <w:rPr>
      <w:rFonts w:ascii="Times New Roman" w:hAnsi="Times New Roman"/>
      <w:b/>
      <w:sz w:val="36"/>
    </w:rPr>
  </w:style>
  <w:style w:type="paragraph" w:styleId="996"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734"/>
    <w:link w:val="997"/>
    <w:pPr>
      <w:spacing w:after="160" w:line="240" w:lineRule="exact"/>
    </w:pPr>
    <w:rPr>
      <w:rFonts w:ascii="Verdana" w:hAnsi="Verdana"/>
      <w:sz w:val="20"/>
    </w:rPr>
  </w:style>
  <w:style w:type="character" w:styleId="997"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907"/>
    <w:link w:val="996"/>
    <w:rPr>
      <w:rFonts w:ascii="Verdana" w:hAnsi="Verdana"/>
      <w:sz w:val="20"/>
    </w:rPr>
  </w:style>
  <w:style w:type="paragraph" w:styleId="998" w:customStyle="1">
    <w:name w:val="ConsPlusNormal"/>
    <w:link w:val="999"/>
    <w:pPr>
      <w:ind w:firstLine="720"/>
      <w:spacing w:after="0" w:line="240" w:lineRule="auto"/>
      <w:widowControl w:val="off"/>
    </w:pPr>
    <w:rPr>
      <w:rFonts w:ascii="Arial" w:hAnsi="Arial"/>
      <w:sz w:val="20"/>
    </w:rPr>
  </w:style>
  <w:style w:type="character" w:styleId="999" w:customStyle="1">
    <w:name w:val="ConsPlusNormal"/>
    <w:link w:val="998"/>
    <w:rPr>
      <w:rFonts w:ascii="Arial" w:hAnsi="Arial"/>
      <w:sz w:val="20"/>
    </w:rPr>
  </w:style>
  <w:style w:type="table" w:styleId="1000" w:customStyle="1">
    <w:name w:val="Леша4"/>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1" w:customStyle="1">
    <w:name w:val="Леша30"/>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2" w:customStyle="1">
    <w:name w:val="Леша27"/>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3" w:customStyle="1">
    <w:name w:val="Леша28"/>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4" w:customStyle="1">
    <w:name w:val="Леша9"/>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5" w:customStyle="1">
    <w:name w:val="Леша24"/>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6" w:customStyle="1">
    <w:name w:val="Леша23"/>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7" w:customStyle="1">
    <w:name w:val="Сетка таблицы3"/>
    <w:basedOn w:val="745"/>
    <w:pPr>
      <w:spacing w:after="0" w:line="240" w:lineRule="auto"/>
    </w:pPr>
    <w:rPr>
      <w:rFonts w:ascii="Times New Roman" w:hAnsi="Times New Roman"/>
      <w:sz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8" w:customStyle="1">
    <w:name w:val="Леша21"/>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9" w:customStyle="1">
    <w:name w:val="Леша13"/>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0" w:customStyle="1">
    <w:name w:val="Леша14"/>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1" w:customStyle="1">
    <w:name w:val="Леша12"/>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2" w:customStyle="1">
    <w:name w:val="Леша7"/>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3" w:customStyle="1">
    <w:name w:val="Леша1"/>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4" w:customStyle="1">
    <w:name w:val="Леша6"/>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5" w:customStyle="1">
    <w:name w:val="Леша19"/>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6" w:customStyle="1">
    <w:name w:val="Леша22"/>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7" w:customStyle="1">
    <w:name w:val="Леша2"/>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8" w:customStyle="1">
    <w:name w:val="Леша32"/>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9" w:customStyle="1">
    <w:name w:val="Леша3"/>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0" w:customStyle="1">
    <w:name w:val="Леша10"/>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1" w:customStyle="1">
    <w:name w:val="Леша11"/>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2" w:customStyle="1">
    <w:name w:val="Леша17"/>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3" w:customStyle="1">
    <w:name w:val="Леша5"/>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4" w:customStyle="1">
    <w:name w:val="Леша18"/>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5" w:customStyle="1">
    <w:name w:val="Леша26"/>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6">
    <w:name w:val="Table Grid"/>
    <w:basedOn w:val="745"/>
    <w:pPr>
      <w:spacing w:after="0" w:line="240" w:lineRule="auto"/>
    </w:pPr>
    <w:rPr>
      <w:rFonts w:ascii="Calibri" w:hAnsi="Calibri"/>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7" w:customStyle="1">
    <w:name w:val="Леша33"/>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8" w:customStyle="1">
    <w:name w:val="Леша20"/>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9" w:customStyle="1">
    <w:name w:val="Леша25"/>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30" w:customStyle="1">
    <w:name w:val="Леша31"/>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31" w:customStyle="1">
    <w:name w:val="Леша8"/>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32" w:customStyle="1">
    <w:name w:val="Леша29"/>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33" w:customStyle="1">
    <w:name w:val="Леша15"/>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34" w:customStyle="1">
    <w:name w:val="Леша16"/>
    <w:basedOn w:val="745"/>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35" w:customStyle="1">
    <w:name w:val="Гиперссылка2"/>
    <w:link w:val="761"/>
    <w:rPr>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yperlink" Target="http://www.rosim.ru" TargetMode="External"/><Relationship Id="rId12" Type="http://schemas.openxmlformats.org/officeDocument/2006/relationships/hyperlink" Target="https://fedresurs.ru" TargetMode="External"/><Relationship Id="rId13" Type="http://schemas.openxmlformats.org/officeDocument/2006/relationships/hyperlink" Target="consultantplus://offline/ref=8608A915A77589369BD2B7F347595D5ABC538B22E06FA735FD52FF4C23570EP" TargetMode="External"/><Relationship Id="rId14" Type="http://schemas.openxmlformats.org/officeDocument/2006/relationships/hyperlink" Target="consultantplus://offline/ref=D54B536E147478390F4E00EB7DDC3F85EBB1AC050E3F505E03D970FC37B84872C1BD5795E2D383C8K856P" TargetMode="External"/><Relationship Id="rId15" Type="http://schemas.openxmlformats.org/officeDocument/2006/relationships/hyperlink" Target="https://torgi.gov.ru" TargetMode="External"/><Relationship Id="rId16" Type="http://schemas.openxmlformats.org/officeDocument/2006/relationships/hyperlink" Target="http://tu61.gov.rosim.ru/" TargetMode="External"/><Relationship Id="rId17" Type="http://schemas.openxmlformats.org/officeDocument/2006/relationships/hyperlink" Target="http://tu61.rosim.gov.ru/" TargetMode="External"/><Relationship Id="rId18" Type="http://schemas.openxmlformats.org/officeDocument/2006/relationships/hyperlink" Target="https://torgi.gov.ru" TargetMode="External"/><Relationship Id="rId19" Type="http://schemas.openxmlformats.org/officeDocument/2006/relationships/hyperlink" Target="https://fiol.rosim.gov.ru/mk/).%20&#1048;&#1085;&#1089;&#1090;&#1088;&#1091;&#1082;&#1094;&#1080;&#110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ФАУГИ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n.kazalova</cp:lastModifiedBy>
  <cp:revision>44</cp:revision>
  <dcterms:created xsi:type="dcterms:W3CDTF">2025-03-14T06:42:00Z</dcterms:created>
  <dcterms:modified xsi:type="dcterms:W3CDTF">2026-06-11T07:31:08Z</dcterms:modified>
</cp:coreProperties>
</file>