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Образец заполнения платежного поручения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с 16.05.2026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кодом нормативного акта 00</w:t>
      </w:r>
      <w:r>
        <w:rPr>
          <w:rFonts w:ascii="Times New Roman" w:hAnsi="Times New Roman" w:eastAsia="Times New Roman"/>
          <w:b/>
          <w:sz w:val="24"/>
          <w:szCs w:val="24"/>
        </w:rPr>
        <w:t xml:space="preserve">11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в поле 22 «Код» при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в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несении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задатка заявителем для участия в аукционе, конкурсе или продаже имущества посредством публичного предложения, а также сумм налогов, подлежащих исчислению</w:t>
      </w:r>
      <w:r>
        <w:rPr>
          <w:rFonts w:ascii="Times New Roman" w:hAnsi="Times New Roman" w:eastAsia="Times New Roman"/>
          <w:b/>
          <w:sz w:val="24"/>
          <w:szCs w:val="24"/>
        </w:rPr>
        <w:t xml:space="preserve">,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в соответствии с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Постановление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м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Правительства РФ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ind w:left="120" w:right="23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120" w:right="23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0" w:type="auto"/>
        <w:tblInd w:w="-3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281"/>
        <w:gridCol w:w="92"/>
        <w:gridCol w:w="189"/>
        <w:gridCol w:w="284"/>
        <w:gridCol w:w="285"/>
        <w:gridCol w:w="285"/>
        <w:gridCol w:w="285"/>
        <w:gridCol w:w="285"/>
        <w:gridCol w:w="285"/>
        <w:gridCol w:w="285"/>
        <w:gridCol w:w="223"/>
        <w:gridCol w:w="62"/>
        <w:gridCol w:w="285"/>
        <w:gridCol w:w="78"/>
        <w:gridCol w:w="207"/>
        <w:gridCol w:w="285"/>
        <w:gridCol w:w="285"/>
        <w:gridCol w:w="284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22"/>
        <w:gridCol w:w="62"/>
        <w:gridCol w:w="299"/>
        <w:gridCol w:w="284"/>
        <w:gridCol w:w="284"/>
        <w:gridCol w:w="284"/>
        <w:gridCol w:w="284"/>
        <w:gridCol w:w="284"/>
        <w:gridCol w:w="284"/>
        <w:gridCol w:w="284"/>
        <w:gridCol w:w="453"/>
      </w:tblGrid>
      <w:tr>
        <w:tblPrEx/>
        <w:trPr/>
        <w:tc>
          <w:tcPr>
            <w:gridSpan w:val="8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31" w:type="dxa"/>
            <w:vAlign w:val="bottom"/>
            <w:textDirection w:val="lrTb"/>
            <w:noWrap w:val="false"/>
          </w:tcPr>
          <w:p>
            <w:pPr>
              <w:ind w:left="70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70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9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95" w:type="dxa"/>
            <w:vAlign w:val="bottom"/>
            <w:textDirection w:val="lrTb"/>
            <w:noWrap w:val="false"/>
          </w:tcPr>
          <w:p>
            <w:pPr>
              <w:ind w:left="119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19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4" w:right="9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3" w:right="8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8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6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ind w:left="5" w:right="5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0401071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8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31" w:type="dxa"/>
            <w:textDirection w:val="lrTb"/>
            <w:noWrap w:val="false"/>
          </w:tcPr>
          <w:p>
            <w:pPr>
              <w:ind w:left="115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Поступ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. в банк плат. 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9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95" w:type="dxa"/>
            <w:textDirection w:val="lrTb"/>
            <w:noWrap w:val="false"/>
          </w:tcPr>
          <w:p>
            <w:pPr>
              <w:ind w:left="119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Списано со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. плат.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4" w:right="9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3" w:right="8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8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left="115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textDirection w:val="lrTb"/>
            <w:noWrap w:val="false"/>
          </w:tcPr>
          <w:p>
            <w:pPr>
              <w:ind w:left="121" w:right="8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textDirection w:val="lrTb"/>
            <w:noWrap w:val="false"/>
          </w:tcPr>
          <w:p>
            <w:pPr>
              <w:ind w:left="127" w:right="8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4" w:right="9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3" w:right="8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8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7" w:type="dxa"/>
            <w:vAlign w:val="bottom"/>
            <w:vMerge w:val="restart"/>
            <w:textDirection w:val="lrTb"/>
            <w:noWrap w:val="false"/>
          </w:tcPr>
          <w:tbl>
            <w:tblPr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>
              <w:tblPrEx/>
              <w:trPr>
                <w:cantSplit/>
              </w:trPr>
              <w:tc>
                <w:tcPr>
                  <w:shd w:val="clear" w:color="auto" w:fill="ffffff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97" w:type="dxa"/>
                  <w:textDirection w:val="lrTb"/>
                  <w:noWrap w:val="false"/>
                </w:tcPr>
                <w:p>
                  <w:pPr>
                    <w:ind w:left="21" w:right="5"/>
                    <w:jc w:val="center"/>
                    <w:keepLines/>
                    <w:spacing w:after="0" w:line="240" w:lineRule="auto"/>
                    <w:widowControl w:val="off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24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r>
                </w:p>
              </w:tc>
            </w:tr>
          </w:tbl>
          <w:p>
            <w:pPr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9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5" w:type="dxa"/>
            <w:textDirection w:val="lrTb"/>
            <w:noWrap w:val="false"/>
          </w:tcPr>
          <w:p>
            <w:pPr>
              <w:ind w:right="98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ПЛАТЕЖНОЕ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ПОРУЧЕНИЕ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7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90" w:type="dxa"/>
            <w:vAlign w:val="bottom"/>
            <w:textDirection w:val="lrTb"/>
            <w:noWrap w:val="false"/>
          </w:tcPr>
          <w:p>
            <w:pPr>
              <w:ind w:left="123" w:right="83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8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03" w:type="dxa"/>
            <w:vAlign w:val="bottom"/>
            <w:textDirection w:val="lrTb"/>
            <w:noWrap w:val="false"/>
          </w:tcPr>
          <w:p>
            <w:pPr>
              <w:ind w:left="117" w:right="91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7" w:type="dxa"/>
            <w:vAlign w:val="bottom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left="115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textDirection w:val="lrTb"/>
            <w:noWrap w:val="false"/>
          </w:tcPr>
          <w:p>
            <w:pPr>
              <w:ind w:left="121" w:right="8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textDirection w:val="lrTb"/>
            <w:noWrap w:val="false"/>
          </w:tcPr>
          <w:p>
            <w:pPr>
              <w:ind w:left="127" w:right="8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4" w:right="9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7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90" w:type="dxa"/>
            <w:textDirection w:val="lrTb"/>
            <w:noWrap w:val="false"/>
          </w:tcPr>
          <w:p>
            <w:pPr>
              <w:ind w:left="123" w:right="83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Дата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8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03" w:type="dxa"/>
            <w:textDirection w:val="lrTb"/>
            <w:noWrap w:val="false"/>
          </w:tcPr>
          <w:p>
            <w:pPr>
              <w:ind w:left="117" w:right="91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Вид платежа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30"/>
        </w:trPr>
        <w:tc>
          <w:tcPr>
            <w:gridSpan w:val="5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vMerge w:val="restart"/>
            <w:textDirection w:val="lrTb"/>
            <w:noWrap w:val="false"/>
          </w:tcPr>
          <w:p>
            <w:pPr>
              <w:ind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прописью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286" w:type="dxa"/>
            <w:vMerge w:val="restart"/>
            <w:textDirection w:val="lrTb"/>
            <w:noWrap w:val="false"/>
          </w:tcPr>
          <w:p>
            <w:pPr>
              <w:ind w:left="120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12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8" w:type="dxa"/>
            <w:vAlign w:val="center"/>
            <w:textDirection w:val="lrTb"/>
            <w:noWrap w:val="false"/>
          </w:tcPr>
          <w:p>
            <w:pPr>
              <w:ind w:left="114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КПП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Сумма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ХХХХХ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ХХХХХ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ХХХХХ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122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restart"/>
            <w:textDirection w:val="lrTb"/>
            <w:noWrap w:val="false"/>
          </w:tcPr>
          <w:p>
            <w:pPr>
              <w:ind w:left="114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restart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34" w:type="dxa"/>
            <w:vAlign w:val="bottom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Плательщик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ХХХХХ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БИК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restart"/>
            <w:textDirection w:val="lrTb"/>
            <w:noWrap w:val="false"/>
          </w:tcPr>
          <w:p>
            <w:pPr>
              <w:ind w:left="5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27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34" w:type="dxa"/>
            <w:vAlign w:val="bottom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Банк плательщика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  <w:t xml:space="preserve">ОКЦ № 1 ВВГУ Банка России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14:ligatures w14:val="none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БИК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1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276"/>
        </w:trPr>
        <w:tc>
          <w:tcPr>
            <w:gridSpan w:val="23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40102810745370000024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10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0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0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Банк получателя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ind w:left="10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03212643000000013230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gridAfter w:val="14"/>
        </w:trPr>
        <w:tc>
          <w:tcPr>
            <w:gridSpan w:val="11"/>
            <w:shd w:val="clear" w:color="auto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6163097776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gridSpan w:val="1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8" w:type="dxa"/>
            <w:vAlign w:val="center"/>
            <w:textDirection w:val="lrTb"/>
            <w:noWrap w:val="false"/>
          </w:tcPr>
          <w:p>
            <w:pPr>
              <w:ind w:left="114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616401001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</w:tr>
      <w:tr>
        <w:tblPrEx/>
        <w:trPr>
          <w:gridAfter w:val="14"/>
          <w:trHeight w:val="253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ФК по Нижегородской области г. Нижний Новгород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(ТУ Росимущества в Ростовской области</w:t>
            </w:r>
            <w:r>
              <w:t xml:space="preserve">У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highlight w:val="yellow"/>
              </w:rPr>
              <w:t xml:space="preserve">л/с 05581А21820</w:t>
            </w:r>
            <w:r>
              <w:rPr>
                <w:rFonts w:ascii="Times New Roman" w:hAnsi="Times New Roman"/>
                <w:color w:val="000000"/>
              </w:rPr>
              <w:t xml:space="preserve">)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ind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Вид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ind w:left="10" w:right="104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51" w:type="dxa"/>
            <w:vAlign w:val="center"/>
            <w:vMerge w:val="restart"/>
            <w:textDirection w:val="lrTb"/>
            <w:noWrap w:val="false"/>
          </w:tcPr>
          <w:p>
            <w:pPr>
              <w:ind w:left="5" w:right="80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Очер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лат.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vMerge w:val="restart"/>
            <w:textDirection w:val="lrTb"/>
            <w:noWrap w:val="false"/>
          </w:tcPr>
          <w:p>
            <w:pPr>
              <w:ind w:left="10" w:right="99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Наз.пл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ind w:left="10" w:right="104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5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34" w:type="dxa"/>
            <w:vAlign w:val="bottom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Получатель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  <w:highlight w:val="green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ind w:left="5" w:right="96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color w:val="000000"/>
                <w:sz w:val="30"/>
                <w:szCs w:val="30"/>
                <w:highlight w:val="green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141310</wp:posOffset>
                      </wp:positionH>
                      <wp:positionV relativeFrom="paragraph">
                        <wp:posOffset>1569680</wp:posOffset>
                      </wp:positionV>
                      <wp:extent cx="2799375" cy="1846502"/>
                      <wp:effectExtent l="6350" t="1482013" r="6350" b="6350"/>
                      <wp:wrapNone/>
                      <wp:docPr id="1" name="_x0000_s1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0" flipV="0">
                                <a:off x="0" y="0"/>
                                <a:ext cx="2799374" cy="1846502"/>
                              </a:xfrm>
                              <a:custGeom>
                                <a:avLst>
                                  <a:gd name="adj0" fmla="val 3422"/>
                                  <a:gd name="adj1" fmla="val -17262"/>
                                </a:avLst>
                                <a:gdLst>
                                  <a:gd name="gd0" fmla="val 65536"/>
                                  <a:gd name="gd1" fmla="val adj0"/>
                                  <a:gd name="gd2" fmla="val adj1"/>
                                  <a:gd name="gd3" fmla="+- 10800 0 adj0"/>
                                  <a:gd name="gd4" fmla="+- 10800 0 adj1"/>
                                  <a:gd name="gd5" fmla="at2 gd3 gd4"/>
                                  <a:gd name="gd6" fmla="*/ gd5 gd0 60000"/>
                                  <a:gd name="gd7" fmla="*/ gd6 60000 gd0"/>
                                  <a:gd name="gd8" fmla="*/ 60000 11 1"/>
                                  <a:gd name="gd9" fmla="*/ 60000 0 1"/>
                                  <a:gd name="gd10" fmla="+- gd7 gd8 gd9"/>
                                  <a:gd name="gd11" fmla="*/ gd10 gd0 60000"/>
                                  <a:gd name="gd12" fmla="*/ gd6 60000 gd0"/>
                                  <a:gd name="gd13" fmla="*/ 60000 0 1"/>
                                  <a:gd name="gd14" fmla="*/ 60000 11 1"/>
                                  <a:gd name="gd15" fmla="+- gd12 gd13 gd14"/>
                                  <a:gd name="gd16" fmla="*/ gd15 gd0 60000"/>
                                  <a:gd name="gd17" fmla="*/ gd6 60000 gd0"/>
                                  <a:gd name="gd18" fmla="cos 10800 gd17"/>
                                  <a:gd name="gd19" fmla="*/ gd6 60000 gd0"/>
                                  <a:gd name="gd20" fmla="sin 10800 gd19"/>
                                  <a:gd name="gd21" fmla="*/ gd11 60000 gd0"/>
                                  <a:gd name="gd22" fmla="cos 10800 gd21"/>
                                  <a:gd name="gd23" fmla="*/ gd11 60000 gd0"/>
                                  <a:gd name="gd24" fmla="sin 10800 gd23"/>
                                  <a:gd name="gd25" fmla="*/ gd16 60000 gd0"/>
                                  <a:gd name="gd26" fmla="cos 10800 gd25"/>
                                  <a:gd name="gd27" fmla="*/ gd16 60000 gd0"/>
                                  <a:gd name="gd28" fmla="sin 10800 gd27"/>
                                  <a:gd name="gd29" fmla="+- 10800 0 gd18"/>
                                  <a:gd name="gd30" fmla="+- 10800 0 gd20"/>
                                  <a:gd name="gd31" fmla="+- 10800 0 gd22"/>
                                  <a:gd name="gd32" fmla="+- 10800 0 gd24"/>
                                  <a:gd name="gd33" fmla="+- 10800 0 gd26"/>
                                  <a:gd name="gd34" fmla="+- 10800 0 gd28"/>
                                  <a:gd name="gd35" fmla="mod gd3 gd4 0"/>
                                  <a:gd name="gd36" fmla="+- gd35 0 10800"/>
                                  <a:gd name="gd37" fmla="?: gd36 adj0 gd29"/>
                                  <a:gd name="gd38" fmla="?: gd36 adj1 gd30"/>
                                  <a:gd name="gd39" fmla="+- 21600 0 0"/>
                                  <a:gd name="gd40" fmla="+- 21600 0 0"/>
                                  <a:gd name="gd41" fmla="*/ gd39 1 2"/>
                                  <a:gd name="gd42" fmla="*/ gd40 1 2"/>
                                  <a:gd name="gd43" fmla="+- 0 gd41 0"/>
                                  <a:gd name="gd44" fmla="+- 0 gd42 0"/>
                                  <a:gd name="gd45" fmla="+- gd31 0 gd43"/>
                                  <a:gd name="gd46" fmla="+- gd32 0 gd44"/>
                                  <a:gd name="gd47" fmla="?: gd45 1 -1"/>
                                  <a:gd name="gd48" fmla="?: gd46 1 -1"/>
                                  <a:gd name="gd49" fmla="*/ gd46 1 gd45"/>
                                  <a:gd name="gd50" fmla="at2 1 gd49"/>
                                  <a:gd name="gd51" fmla="cos 1 gd50"/>
                                  <a:gd name="gd52" fmla="*/ gd51 gd51 1"/>
                                  <a:gd name="gd53" fmla="*/ gd42 gd42 1"/>
                                  <a:gd name="gd54" fmla="*/ gd53 gd52 1"/>
                                  <a:gd name="gd55" fmla="sin 1 gd50"/>
                                  <a:gd name="gd56" fmla="*/ gd55 gd55 1"/>
                                  <a:gd name="gd57" fmla="*/ gd41 gd41 1"/>
                                  <a:gd name="gd58" fmla="*/ gd57 gd56 1"/>
                                  <a:gd name="gd59" fmla="+- gd58 gd54 0"/>
                                  <a:gd name="gd60" fmla="sqrt gd59"/>
                                  <a:gd name="gd61" fmla="*/ gd41 gd42 gd60"/>
                                  <a:gd name="gd62" fmla="?: gd45 0 10800000"/>
                                  <a:gd name="gd63" fmla="*/ gd47 gd48 1"/>
                                  <a:gd name="gd64" fmla="*/ gd50 -1 1"/>
                                  <a:gd name="gd65" fmla="?: gd50 gd50 gd64"/>
                                  <a:gd name="gd66" fmla="*/ gd65 gd63 1"/>
                                  <a:gd name="gd67" fmla="+- gd66 gd62 0"/>
                                  <a:gd name="gd68" fmla="*/ gd61 gd51 1"/>
                                  <a:gd name="gd69" fmla="*/ gd47 gd68 1"/>
                                  <a:gd name="gd70" fmla="+- gd43 gd69 0"/>
                                  <a:gd name="gd71" fmla="*/ gd55 -1 1"/>
                                  <a:gd name="gd72" fmla="?: gd55 gd55 gd71"/>
                                  <a:gd name="gd73" fmla="*/ gd61 gd72 1"/>
                                  <a:gd name="gd74" fmla="*/ gd48 gd73 1"/>
                                  <a:gd name="gd75" fmla="+- gd44 gd74 0"/>
                                  <a:gd name="gd76" fmla="+- gd33 0 gd43"/>
                                  <a:gd name="gd77" fmla="+- gd34 0 gd44"/>
                                  <a:gd name="gd78" fmla="?: gd76 1 -1"/>
                                  <a:gd name="gd79" fmla="?: gd77 1 -1"/>
                                  <a:gd name="gd80" fmla="*/ gd77 1 gd76"/>
                                  <a:gd name="gd81" fmla="at2 1 gd80"/>
                                  <a:gd name="gd82" fmla="cos 1 gd81"/>
                                  <a:gd name="gd83" fmla="*/ gd82 gd82 1"/>
                                  <a:gd name="gd84" fmla="*/ gd42 gd42 1"/>
                                  <a:gd name="gd85" fmla="*/ gd84 gd83 1"/>
                                  <a:gd name="gd86" fmla="sin 1 gd81"/>
                                  <a:gd name="gd87" fmla="*/ gd86 gd86 1"/>
                                  <a:gd name="gd88" fmla="*/ gd41 gd41 1"/>
                                  <a:gd name="gd89" fmla="*/ gd88 gd87 1"/>
                                  <a:gd name="gd90" fmla="+- gd89 gd85 0"/>
                                  <a:gd name="gd91" fmla="sqrt gd90"/>
                                  <a:gd name="gd92" fmla="*/ gd41 gd42 gd91"/>
                                  <a:gd name="gd93" fmla="?: gd76 0 10800000"/>
                                  <a:gd name="gd94" fmla="*/ gd78 gd79 1"/>
                                  <a:gd name="gd95" fmla="*/ gd81 -1 1"/>
                                  <a:gd name="gd96" fmla="?: gd81 gd81 gd95"/>
                                  <a:gd name="gd97" fmla="*/ gd96 gd94 1"/>
                                  <a:gd name="gd98" fmla="+- gd97 gd93 0"/>
                                  <a:gd name="gd99" fmla="*/ gd92 gd82 1"/>
                                  <a:gd name="gd100" fmla="*/ gd78 gd99 1"/>
                                  <a:gd name="gd101" fmla="+- gd43 gd100 0"/>
                                  <a:gd name="gd102" fmla="*/ gd86 -1 1"/>
                                  <a:gd name="gd103" fmla="?: gd86 gd86 gd102"/>
                                  <a:gd name="gd104" fmla="*/ gd92 gd103 1"/>
                                  <a:gd name="gd105" fmla="*/ gd79 gd104 1"/>
                                  <a:gd name="gd106" fmla="+- gd44 gd105 0"/>
                                  <a:gd name="gd107" fmla="+- gd98 0 gd67"/>
                                  <a:gd name="gd108" fmla="+- 21600000 gd107 0"/>
                                  <a:gd name="gd109" fmla="?: gd107 gd107 gd108"/>
                                  <a:gd name="gd110" fmla="*/ gd39 1 2"/>
                                  <a:gd name="gd111" fmla="*/ gd40 1 2"/>
                                  <a:gd name="gd112" fmla="val gd101"/>
                                  <a:gd name="gd113" fmla="val gd106"/>
                                  <a:gd name="gd114" fmla="val gd37"/>
                                  <a:gd name="gd115" fmla="val gd38"/>
                                  <a:gd name="gd116" fmla="*/ w 3163 21600"/>
                                  <a:gd name="gd117" fmla="*/ h 3163 21600"/>
                                  <a:gd name="gd118" fmla="*/ w 18437 21600"/>
                                  <a:gd name="gd119" fmla="*/ h 18437 21600"/>
                                  <a:gd name="gd120" fmla="*/ w adj0 21600"/>
                                  <a:gd name="gd121" fmla="*/ h adj1 21600"/>
                                </a:gdLst>
                                <a:ahLst>
                                  <a:ahXY gdRefX="adj0" minX="-21474836" maxX="21474836" gdRefY="adj1" minY="-21474836" maxY="21474836">
                                    <a:pos x="gd120" y="gd121"/>
                                  </a:ahXY>
                                </a:ahLst>
                                <a:cxnLst/>
                                <a:rect l="gd116" t="gd117" r="gd118" b="gd119"/>
                                <a:pathLst>
                                  <a:path w="21600" h="21600" fill="norm" stroke="1" extrusionOk="0">
                                    <a:moveTo>
                                      <a:pt x="gd70" y="gd75"/>
                                    </a:moveTo>
                                    <a:arcTo wR="gd110" hR="gd111" stAng="gd67" swAng="gd109"/>
                                    <a:lnTo>
                                      <a:pt x="gd114" y="gd1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поле 22 "Код"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ОБЯЗАТЕЛЬНО ДЛЯ ЗАПОЛНЕНИЯ!!!!!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spacing w:after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</w:rPr>
                                    <w:t xml:space="preserve">код нормативного акта - 00</w:t>
                                  </w: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</w:rPr>
                                    <w:t xml:space="preserve">11</w:t>
                                  </w: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</w:rPr>
                                    <w:t xml:space="preserve">, присвоенный</w:t>
                                  </w:r>
                                  <w:r>
                                    <w:rPr>
                                      <w:rFonts w:ascii="Calibri" w:hAnsi="Calibri" w:eastAsia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Федеральному закону </w:t>
                                  </w: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от 21.12.2001 № 178-ФЗ «О приватизации государственного и муниципального имущества»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style="position:absolute;z-index:251658240;o:allowoverlap:true;o:allowincell:true;mso-position-horizontal-relative:text;margin-left:11.13pt;mso-position-horizontal:absolute;mso-position-vertical-relative:text;margin-top:123.60pt;mso-position-vertical:absolute;width:220.42pt;height:145.39pt;mso-wrap-distance-left:9.00pt;mso-wrap-distance-top:0.00pt;mso-wrap-distance-right:9.00pt;mso-wrap-distance-bottom:0.00pt;visibility:visible;" path="m46745,104l46745,104c47828,34,48913,-1,49999,-1c77428,-1,99999,22569,99999,49998l99999,49998c99999,77427,77428,99998,49999,99998c22570,99998,0,77427,0,49998c0,30829,11023,13278,28292,4956l15843,-79916xe" coordsize="100000,100000" fillcolor="#FFFFFF" strokecolor="#000000">
                      <v:path textboxrect="14643,14643,85356,85356"/>
                      <v:textbox inset="0,0,0,0">
                        <w:txbxContent>
                          <w:p>
                            <w:pPr>
                              <w:jc w:val="center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поле 22 "Код"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0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ОБЯЗАТЕЛЬНО ДЛЯ ЗАПОЛНЕНИЯ!!!!!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eastAsia="Times New Roman"/>
                                <w:b/>
                              </w:rPr>
                              <w:t xml:space="preserve">код нормативного акта - 00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</w:rPr>
                              <w:t xml:space="preserve">11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</w:rPr>
                              <w:t xml:space="preserve">, присвоенный</w:t>
                            </w:r>
                            <w:r>
                              <w:rPr>
                                <w:rFonts w:ascii="Calibri" w:hAnsi="Calibri" w:eastAsia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sz w:val="24"/>
                                <w:szCs w:val="24"/>
                              </w:rPr>
                              <w:t xml:space="preserve">Федеральному закону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sz w:val="24"/>
                                <w:szCs w:val="24"/>
                              </w:rPr>
                              <w:t xml:space="preserve">от 21.12.2001 № 178-ФЗ «О приватизации государственного и муниципального имущества»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  <w:highlight w:val="green"/>
              </w:rPr>
              <w:t xml:space="preserve">00</w: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  <w:highlight w:val="green"/>
              </w:rPr>
              <w:t xml:space="preserve">11</w: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ind w:left="5" w:right="80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ind w:left="10" w:right="99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0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01" w:type="dxa"/>
            <w:vAlign w:val="center"/>
            <w:textDirection w:val="lrTb"/>
            <w:noWrap w:val="false"/>
          </w:tcPr>
          <w:p>
            <w:pPr>
              <w:ind w:left="115" w:right="97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8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ind w:left="129" w:right="87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ind w:left="119" w:right="9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Align w:val="center"/>
            <w:textDirection w:val="lrTb"/>
            <w:noWrap w:val="false"/>
          </w:tcPr>
          <w:p>
            <w:pPr>
              <w:ind w:left="128" w:right="96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8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dxa"/>
            <w:vAlign w:val="center"/>
            <w:textDirection w:val="lrTb"/>
            <w:noWrap w:val="false"/>
          </w:tcPr>
          <w:p>
            <w:pPr>
              <w:ind w:left="130" w:right="8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ind w:left="118" w:right="10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37" w:type="dxa"/>
            <w:vAlign w:val="center"/>
            <w:textDirection w:val="lrTb"/>
            <w:noWrap w:val="false"/>
          </w:tcPr>
          <w:p>
            <w:pPr>
              <w:ind w:left="118" w:right="95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gridSpan w:val="40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62" w:type="dxa"/>
            <w:vMerge w:val="restart"/>
            <w:textDirection w:val="lrTb"/>
            <w:noWrap w:val="false"/>
          </w:tcPr>
          <w:p>
            <w:pPr>
              <w:ind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Оплата суммы НДС по договору купли-продажи 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договора), сведения о наименовании Имущества и Покупателя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Назначение платежа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left="115" w:right="95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" w:type="dxa"/>
            <w:textDirection w:val="lrTb"/>
            <w:noWrap w:val="false"/>
          </w:tcPr>
          <w:p>
            <w:pPr>
              <w:ind w:left="121" w:right="8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9" w:type="dxa"/>
            <w:textDirection w:val="lrTb"/>
            <w:noWrap w:val="false"/>
          </w:tcPr>
          <w:p>
            <w:pPr>
              <w:ind w:left="127" w:right="8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8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3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7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10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4" w:type="dxa"/>
            <w:textDirection w:val="lrTb"/>
            <w:noWrap w:val="false"/>
          </w:tcPr>
          <w:p>
            <w:pPr>
              <w:ind w:left="109" w:right="103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2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9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9" w:type="dxa"/>
            <w:textDirection w:val="lrTb"/>
            <w:noWrap w:val="false"/>
          </w:tcPr>
          <w:p>
            <w:pPr>
              <w:ind w:left="125" w:right="79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ind w:left="120" w:right="240"/>
        <w:spacing w:after="0" w:line="240" w:lineRule="auto"/>
        <w:widowControl w:val="off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sectPr>
      <w:footnotePr/>
      <w:endnotePr/>
      <w:type w:val="nextPage"/>
      <w:pgSz w:w="11900" w:h="16840" w:orient="portrait"/>
      <w:pgMar w:top="700" w:right="600" w:bottom="700" w:left="600" w:header="22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>
        <w:ind w:left="216"/>
        <w:tabs>
          <w:tab w:val="num" w:pos="216" w:leader="none"/>
        </w:tabs>
      </w:pPr>
      <w:rPr>
        <w:rFonts w:ascii="Arial" w:hAnsi="Arial"/>
        <w:color w:val="000000"/>
        <w:sz w:val="24"/>
      </w:rPr>
    </w:lvl>
    <w:lvl w:ilvl="1">
      <w:start w:val="1"/>
      <w:numFmt w:val="decimal"/>
      <w:isLgl w:val="false"/>
      <w:suff w:val="tab"/>
      <w:lvlText w:val="o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decimal"/>
      <w:isLgl w:val="false"/>
      <w:suff w:val="tab"/>
      <w:lvlText w:val="§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isLgl w:val="false"/>
      <w:suff w:val="tab"/>
      <w:lvlText w:val="·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decimal"/>
      <w:isLgl w:val="false"/>
      <w:suff w:val="tab"/>
      <w:lvlText w:val="o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decimal"/>
      <w:isLgl w:val="false"/>
      <w:suff w:val="tab"/>
      <w:lvlText w:val="§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isLgl w:val="false"/>
      <w:suff w:val="tab"/>
      <w:lvlText w:val="·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decimal"/>
      <w:isLgl w:val="false"/>
      <w:suff w:val="tab"/>
      <w:lvlText w:val="o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decimal"/>
      <w:isLgl w:val="false"/>
      <w:suff w:val="tab"/>
      <w:lvlText w:val="§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5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5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5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4"/>
    <w:link w:val="83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ФАУГИ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</dc:title>
  <dc:creator>Уколова Марина Александровна</dc:creator>
  <dc:description>Generated by Oracle BI Publisher 12.2.1.4.0</dc:description>
  <cp:lastModifiedBy>n.kazalova</cp:lastModifiedBy>
  <cp:revision>9</cp:revision>
  <dcterms:created xsi:type="dcterms:W3CDTF">2021-12-10T15:42:00Z</dcterms:created>
  <dcterms:modified xsi:type="dcterms:W3CDTF">2026-05-05T07:30:37Z</dcterms:modified>
</cp:coreProperties>
</file>